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NewRoman" w:hAnsi="TimesNewRoman" w:eastAsia="黑体" w:cs="TimesNewRoman"/>
          <w:szCs w:val="32"/>
        </w:rPr>
      </w:pPr>
      <w:r>
        <w:rPr>
          <w:rFonts w:hint="eastAsia" w:ascii="TimesNewRoman" w:hAnsi="TimesNewRoman" w:eastAsia="黑体" w:cs="TimesNewRoman"/>
          <w:szCs w:val="32"/>
        </w:rPr>
        <w:t>附件1-1</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淮北市</w:t>
      </w:r>
      <w:r>
        <w:rPr>
          <w:rFonts w:hint="eastAsia" w:ascii="TimesNewRoman" w:hAnsi="TimesNewRoman" w:eastAsia="华文中宋" w:cs="TimesNewRoman"/>
          <w:b/>
          <w:sz w:val="44"/>
          <w:szCs w:val="44"/>
          <w:lang w:eastAsia="zh-CN"/>
        </w:rPr>
        <w:t>聋儿语训中心</w:t>
      </w:r>
      <w:r>
        <w:rPr>
          <w:rFonts w:hint="eastAsia" w:ascii="TimesNewRoman" w:hAnsi="TimesNewRoman" w:eastAsia="华文中宋" w:cs="TimesNewRoman"/>
          <w:b/>
          <w:sz w:val="44"/>
          <w:szCs w:val="44"/>
        </w:rPr>
        <w:t>2023年</w:t>
      </w:r>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单位预算</w:t>
      </w:r>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p>
    <w:p>
      <w:pPr>
        <w:rPr>
          <w:rFonts w:hint="eastAsia"/>
        </w:rPr>
      </w:pPr>
    </w:p>
    <w:p>
      <w:pPr>
        <w:rPr>
          <w:rFonts w:hint="eastAsia"/>
        </w:rPr>
      </w:pPr>
    </w:p>
    <w:p/>
    <w:p>
      <w:pPr>
        <w:pStyle w:val="3"/>
        <w:adjustRightInd w:val="0"/>
        <w:snapToGrid w:val="0"/>
        <w:spacing w:line="560" w:lineRule="exact"/>
        <w:jc w:val="center"/>
        <w:rPr>
          <w:rFonts w:hint="eastAsia" w:ascii="TimesNewRoman" w:hAnsi="TimesNewRoman" w:eastAsia="黑体" w:cs="TimesNewRoman"/>
          <w:bCs/>
          <w:sz w:val="44"/>
          <w:szCs w:val="44"/>
        </w:rPr>
      </w:pPr>
    </w:p>
    <w:p>
      <w:pPr>
        <w:pStyle w:val="3"/>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2023年</w:t>
      </w:r>
      <w:r>
        <w:rPr>
          <w:rFonts w:hint="eastAsia" w:ascii="TimesNewRoman" w:hAnsi="TimesNewRoman" w:eastAsia="黑体" w:cs="TimesNewRoman"/>
          <w:bCs/>
          <w:sz w:val="44"/>
          <w:szCs w:val="44"/>
          <w:lang w:val="en-US" w:eastAsia="zh-CN"/>
        </w:rPr>
        <w:t>2</w:t>
      </w:r>
      <w:r>
        <w:rPr>
          <w:rFonts w:hint="eastAsia" w:ascii="TimesNewRoman" w:hAnsi="TimesNewRoman" w:eastAsia="黑体" w:cs="TimesNewRoman"/>
          <w:bCs/>
          <w:sz w:val="44"/>
          <w:szCs w:val="44"/>
        </w:rPr>
        <w:t>月</w:t>
      </w:r>
    </w:p>
    <w:p>
      <w:pPr>
        <w:rPr>
          <w:rFonts w:hint="eastAsia"/>
        </w:rPr>
      </w:pPr>
    </w:p>
    <w:p/>
    <w:p>
      <w:pPr>
        <w:pStyle w:val="3"/>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第一部分 单位概况</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2、单位预算构成</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 、2023年度主要工作任务</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第二部分 2023年单位预算表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2023年收支总表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2023年收入总表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2023年支出总表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2023年财政拨款收支总表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2023年一般公共预算支出表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2023年一般公共预算基本支出表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2023年政府性基金预算支出表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2023年国有资本经营预算支出表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2023年项目支出表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2023年政府采购支出表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2023年政府购买服务支出表</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第三部分 2023年单位预算情况说明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1、关于2023年收支总表的说明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2、关于2023年收入总表的说明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3、关于2023年支出总表的说明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4、关于2023年财政拨款收支总表的说明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5、关于2023年一般公共预算支出表的说明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6、关于2023年一般公共预算基本支出表的说明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7、关于2023年政府性基金预算支出表的说明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8、关于2023年国有资本经营预算支出表的说明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9、关于2023年项目支出表的说明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10、关于2023年政府采购支出表的说明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11、关于2023年政府购买服务支出表的说明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2023年部门预算纳入绩效考评项目表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聋儿语训中心</w:t>
      </w:r>
      <w:r>
        <w:rPr>
          <w:rFonts w:hint="eastAsia" w:ascii="TimesNewRoman" w:hAnsi="TimesNewRoman" w:eastAsia="仿宋_GB2312" w:cs="TimesNewRoman"/>
          <w:bCs/>
          <w:sz w:val="32"/>
          <w:szCs w:val="32"/>
        </w:rPr>
        <w:t>2023年部门预算专项资金管理清单（专栏公开）</w:t>
      </w:r>
    </w:p>
    <w:p>
      <w:pPr>
        <w:pStyle w:val="3"/>
        <w:adjustRightInd w:val="0"/>
        <w:snapToGrid w:val="0"/>
        <w:spacing w:line="400" w:lineRule="exact"/>
        <w:ind w:firstLine="800" w:firstLineChars="250"/>
        <w:rPr>
          <w:rFonts w:ascii="TimesNewRoman" w:hAnsi="TimesNewRoman" w:eastAsia="仿宋_GB2312" w:cs="TimesNewRoman"/>
          <w:bCs/>
          <w:sz w:val="32"/>
          <w:szCs w:val="32"/>
        </w:rPr>
      </w:pP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第一部分 单位概况</w:t>
      </w:r>
    </w:p>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ind w:firstLine="640" w:firstLineChars="200"/>
        <w:rPr>
          <w:rFonts w:hint="eastAsia" w:ascii="仿宋_GB2312" w:eastAsia="仿宋_GB2312"/>
          <w:sz w:val="32"/>
          <w:szCs w:val="32"/>
        </w:rPr>
      </w:pPr>
      <w:r>
        <w:rPr>
          <w:rFonts w:hint="eastAsia" w:ascii="仿宋_GB2312" w:eastAsia="仿宋_GB2312"/>
          <w:sz w:val="32"/>
          <w:szCs w:val="32"/>
        </w:rPr>
        <w:t>根据儿童年龄，语言状况，对0—14岁听障儿童进行集体课、单训课、亲子同训、AVT、小龄团体、大龄分级等听力语言康复训练、康复评估、后续跟踪。</w:t>
      </w:r>
    </w:p>
    <w:p>
      <w:pPr>
        <w:ind w:firstLine="640" w:firstLineChars="200"/>
        <w:rPr>
          <w:rFonts w:hint="eastAsia" w:ascii="仿宋_GB2312" w:eastAsia="仿宋_GB2312"/>
          <w:sz w:val="32"/>
          <w:szCs w:val="32"/>
        </w:rPr>
      </w:pPr>
      <w:r>
        <w:rPr>
          <w:rFonts w:hint="eastAsia" w:ascii="仿宋_GB2312" w:eastAsia="仿宋_GB2312"/>
          <w:sz w:val="32"/>
          <w:szCs w:val="32"/>
        </w:rPr>
        <w:t>对听障儿童进行听力检测服务，对听障儿童家长进行康复知识培训、家庭康复指导、心理疏导等，对基层机构进行康复指导、人员培训，对有听力康复需求的人员进行听力康复咨询、社区服务。</w:t>
      </w:r>
    </w:p>
    <w:p>
      <w:pPr>
        <w:ind w:firstLine="645"/>
        <w:rPr>
          <w:rFonts w:hint="eastAsia" w:ascii="仿宋_GB2312" w:eastAsia="仿宋_GB2312"/>
          <w:sz w:val="32"/>
          <w:szCs w:val="32"/>
        </w:rPr>
      </w:pPr>
      <w:r>
        <w:rPr>
          <w:rFonts w:hint="eastAsia" w:ascii="仿宋_GB2312" w:eastAsia="仿宋_GB2312"/>
          <w:sz w:val="32"/>
          <w:szCs w:val="32"/>
        </w:rPr>
        <w:t>承担市残联交办的其他工作。</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二、单位预算构成</w:t>
      </w:r>
    </w:p>
    <w:tbl>
      <w:tblPr>
        <w:tblStyle w:val="4"/>
        <w:tblW w:w="8540" w:type="dxa"/>
        <w:jc w:val="center"/>
        <w:tblLayout w:type="fixed"/>
        <w:tblCellMar>
          <w:top w:w="0" w:type="dxa"/>
          <w:left w:w="0" w:type="dxa"/>
          <w:bottom w:w="0" w:type="dxa"/>
          <w:right w:w="0" w:type="dxa"/>
        </w:tblCellMar>
      </w:tblPr>
      <w:tblGrid>
        <w:gridCol w:w="854"/>
        <w:gridCol w:w="3416"/>
        <w:gridCol w:w="4270"/>
      </w:tblGrid>
      <w:tr>
        <w:tblPrEx>
          <w:tblCellMar>
            <w:top w:w="0" w:type="dxa"/>
            <w:left w:w="0" w:type="dxa"/>
            <w:bottom w:w="0" w:type="dxa"/>
            <w:right w:w="0" w:type="dxa"/>
          </w:tblCellMar>
        </w:tblPrEx>
        <w:trPr>
          <w:trHeight w:val="579" w:hRule="atLeast"/>
          <w:jc w:val="center"/>
        </w:trPr>
        <w:tc>
          <w:tcPr>
            <w:tcW w:w="85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序号</w:t>
            </w:r>
          </w:p>
        </w:tc>
        <w:tc>
          <w:tcPr>
            <w:tcW w:w="341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单位名称</w:t>
            </w:r>
          </w:p>
        </w:tc>
        <w:tc>
          <w:tcPr>
            <w:tcW w:w="4270"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单位性质</w:t>
            </w:r>
          </w:p>
        </w:tc>
      </w:tr>
      <w:tr>
        <w:tblPrEx>
          <w:tblCellMar>
            <w:top w:w="0" w:type="dxa"/>
            <w:left w:w="0" w:type="dxa"/>
            <w:bottom w:w="0" w:type="dxa"/>
            <w:right w:w="0" w:type="dxa"/>
          </w:tblCellMar>
        </w:tblPrEx>
        <w:trPr>
          <w:trHeight w:val="579" w:hRule="atLeast"/>
          <w:jc w:val="center"/>
        </w:trPr>
        <w:tc>
          <w:tcPr>
            <w:tcW w:w="8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1</w:t>
            </w:r>
          </w:p>
        </w:tc>
        <w:tc>
          <w:tcPr>
            <w:tcW w:w="3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hint="eastAsia" w:ascii="TimesNewRoman" w:hAnsi="TimesNewRoman" w:cs="TimesNewRoman" w:eastAsiaTheme="minorEastAsia"/>
                <w:sz w:val="24"/>
                <w:u w:val="single"/>
                <w:lang w:eastAsia="zh-CN"/>
              </w:rPr>
            </w:pPr>
            <w:r>
              <w:rPr>
                <w:rFonts w:ascii="TimesNewRoman" w:hAnsi="TimesNewRoman" w:cs="TimesNewRoman"/>
                <w:bCs/>
                <w:sz w:val="24"/>
              </w:rPr>
              <w:t>淮北市</w:t>
            </w:r>
            <w:r>
              <w:rPr>
                <w:rFonts w:hint="eastAsia" w:ascii="TimesNewRoman" w:hAnsi="TimesNewRoman" w:cs="TimesNewRoman"/>
                <w:bCs/>
                <w:sz w:val="24"/>
                <w:lang w:eastAsia="zh-CN"/>
              </w:rPr>
              <w:t>聋儿语训中心</w:t>
            </w:r>
          </w:p>
        </w:tc>
        <w:tc>
          <w:tcPr>
            <w:tcW w:w="427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公益一类事业单位</w:t>
            </w:r>
          </w:p>
        </w:tc>
      </w:tr>
    </w:tbl>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三、2023年度主要工作任务</w:t>
      </w:r>
    </w:p>
    <w:p>
      <w:pPr>
        <w:ind w:firstLine="640" w:firstLineChars="200"/>
        <w:rPr>
          <w:rFonts w:hint="eastAsia" w:ascii="仿宋_GB2312" w:eastAsia="仿宋_GB2312"/>
          <w:sz w:val="32"/>
          <w:szCs w:val="32"/>
        </w:rPr>
      </w:pPr>
      <w:r>
        <w:rPr>
          <w:rFonts w:hint="eastAsia" w:ascii="仿宋_GB2312" w:eastAsia="仿宋_GB2312"/>
          <w:sz w:val="32"/>
          <w:szCs w:val="32"/>
        </w:rPr>
        <w:t>1、扎实做好民生工程残疾儿童精准康复服务。对听障儿童实施分类康复教学，定期评估；对听障儿童家长进行每年不少于4次的集中培训，每班每月不少于2次培训。</w:t>
      </w:r>
    </w:p>
    <w:p>
      <w:pPr>
        <w:ind w:left="640"/>
        <w:rPr>
          <w:rFonts w:hint="eastAsia" w:ascii="仿宋_GB2312" w:eastAsia="仿宋_GB2312"/>
          <w:sz w:val="32"/>
          <w:szCs w:val="32"/>
        </w:rPr>
      </w:pPr>
      <w:r>
        <w:rPr>
          <w:rFonts w:hint="eastAsia" w:ascii="仿宋_GB2312" w:eastAsia="仿宋_GB2312"/>
          <w:sz w:val="32"/>
          <w:szCs w:val="32"/>
        </w:rPr>
        <w:t>2、认真组织教职工及听障儿童开展“爱耳日”、“助残日”、</w:t>
      </w:r>
    </w:p>
    <w:p>
      <w:pPr>
        <w:rPr>
          <w:rFonts w:hint="eastAsia" w:ascii="仿宋_GB2312" w:eastAsia="仿宋_GB2312"/>
          <w:sz w:val="32"/>
          <w:szCs w:val="32"/>
        </w:rPr>
      </w:pPr>
      <w:r>
        <w:rPr>
          <w:rFonts w:hint="eastAsia" w:ascii="仿宋_GB2312" w:eastAsia="仿宋_GB2312"/>
          <w:sz w:val="32"/>
          <w:szCs w:val="32"/>
        </w:rPr>
        <w:t>儿童节、春游、秋游等活动，广泛宣传党和国家的各项救助政策。</w:t>
      </w:r>
    </w:p>
    <w:p>
      <w:pPr>
        <w:numPr>
          <w:ilvl w:val="0"/>
          <w:numId w:val="0"/>
        </w:numPr>
        <w:ind w:left="0" w:leftChars="0"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关心关爱残疾儿童及家长的生活。发放教材、电池、生活补贴，切实解决残疾儿童康复的实际困难。</w:t>
      </w:r>
    </w:p>
    <w:p>
      <w:pPr>
        <w:numPr>
          <w:ilvl w:val="0"/>
          <w:numId w:val="0"/>
        </w:numPr>
        <w:ind w:left="0" w:leftChars="0"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加大教职工培训力度，鼓励教职工参加全国、省各类专</w:t>
      </w:r>
      <w:r>
        <w:rPr>
          <w:rFonts w:hint="eastAsia" w:ascii="仿宋_GB2312" w:eastAsia="仿宋_GB2312"/>
          <w:sz w:val="32"/>
          <w:szCs w:val="32"/>
          <w:lang w:eastAsia="zh-CN"/>
        </w:rPr>
        <w:t>、</w:t>
      </w:r>
      <w:r>
        <w:rPr>
          <w:rFonts w:hint="eastAsia" w:ascii="仿宋_GB2312" w:eastAsia="仿宋_GB2312"/>
          <w:sz w:val="32"/>
          <w:szCs w:val="32"/>
        </w:rPr>
        <w:t>业技术及继续教育培训，提高教职工的综合素质及业务水平。</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积极推进机构规范化建设。对集体课教室及部分各训室进行声学处理，以提高康复教学效果。对各功能室安装监控设备，室外活动场地进行维修，杜绝安全事故发生。</w:t>
      </w:r>
    </w:p>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第二部分 2023年</w:t>
      </w:r>
      <w:r>
        <w:rPr>
          <w:rFonts w:hint="eastAsia" w:ascii="TimesNewRoman" w:hAnsi="TimesNewRoman" w:eastAsia="黑体" w:cs="TimesNewRoman"/>
          <w:bCs/>
          <w:sz w:val="36"/>
          <w:szCs w:val="36"/>
          <w:lang w:eastAsia="zh-CN"/>
        </w:rPr>
        <w:t>单位</w:t>
      </w:r>
      <w:r>
        <w:rPr>
          <w:rFonts w:hint="eastAsia" w:ascii="TimesNewRoman" w:hAnsi="TimesNewRoman" w:eastAsia="黑体" w:cs="TimesNewRoman"/>
          <w:bCs/>
          <w:sz w:val="36"/>
          <w:szCs w:val="36"/>
        </w:rPr>
        <w:t>预算表</w:t>
      </w:r>
    </w:p>
    <w:p>
      <w:pPr>
        <w:pStyle w:val="3"/>
        <w:adjustRightInd w:val="0"/>
        <w:snapToGrid w:val="0"/>
        <w:spacing w:line="560" w:lineRule="exact"/>
        <w:ind w:firstLine="627" w:firstLineChars="196"/>
        <w:jc w:val="center"/>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第三部分 2023年</w:t>
      </w:r>
      <w:r>
        <w:rPr>
          <w:rFonts w:hint="eastAsia" w:ascii="TimesNewRoman" w:hAnsi="TimesNewRoman" w:eastAsia="黑体" w:cs="TimesNewRoman"/>
          <w:bCs/>
          <w:sz w:val="36"/>
          <w:szCs w:val="36"/>
          <w:lang w:eastAsia="zh-CN"/>
        </w:rPr>
        <w:t>单位</w:t>
      </w:r>
      <w:r>
        <w:rPr>
          <w:rFonts w:hint="eastAsia" w:ascii="TimesNewRoman" w:hAnsi="TimesNewRoman" w:eastAsia="黑体" w:cs="TimesNewRoman"/>
          <w:bCs/>
          <w:sz w:val="36"/>
          <w:szCs w:val="36"/>
        </w:rPr>
        <w:t>预算情况说明</w:t>
      </w:r>
    </w:p>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一、关于2023年收支总表的说明</w:t>
      </w:r>
    </w:p>
    <w:p>
      <w:pPr>
        <w:pStyle w:val="3"/>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按照综合预算的原则，淮北市</w:t>
      </w:r>
      <w:r>
        <w:rPr>
          <w:rFonts w:hint="eastAsia" w:ascii="TimesNewRoman" w:hAnsi="TimesNewRoman" w:eastAsia="仿宋_GB2312" w:cs="TimesNewRoman"/>
          <w:sz w:val="32"/>
          <w:szCs w:val="32"/>
          <w:lang w:eastAsia="zh-CN"/>
        </w:rPr>
        <w:t>聋儿语训中心</w:t>
      </w:r>
      <w:r>
        <w:rPr>
          <w:rFonts w:hint="eastAsia" w:ascii="TimesNewRoman" w:hAnsi="TimesNewRoman" w:eastAsia="仿宋_GB2312" w:cs="TimesNewRoman"/>
          <w:sz w:val="32"/>
          <w:szCs w:val="32"/>
        </w:rPr>
        <w:t>所有收入和支出均纳入</w:t>
      </w:r>
      <w:r>
        <w:rPr>
          <w:rFonts w:hint="eastAsia" w:ascii="TimesNewRoman" w:hAnsi="TimesNewRoman" w:eastAsia="仿宋_GB2312" w:cs="TimesNewRoman"/>
          <w:sz w:val="32"/>
          <w:szCs w:val="32"/>
          <w:lang w:eastAsia="zh-CN"/>
        </w:rPr>
        <w:t>单位</w:t>
      </w:r>
      <w:r>
        <w:rPr>
          <w:rFonts w:hint="eastAsia" w:ascii="TimesNewRoman" w:hAnsi="TimesNewRoman" w:eastAsia="仿宋_GB2312" w:cs="TimesNewRoman"/>
          <w:sz w:val="32"/>
          <w:szCs w:val="32"/>
        </w:rPr>
        <w:t>预算管理。淮北市</w:t>
      </w:r>
      <w:r>
        <w:rPr>
          <w:rFonts w:hint="eastAsia" w:ascii="TimesNewRoman" w:hAnsi="TimesNewRoman" w:eastAsia="仿宋_GB2312" w:cs="TimesNewRoman"/>
          <w:sz w:val="32"/>
          <w:szCs w:val="32"/>
          <w:lang w:eastAsia="zh-CN"/>
        </w:rPr>
        <w:t>聋儿语训中心</w:t>
      </w:r>
      <w:r>
        <w:rPr>
          <w:rFonts w:hint="eastAsia" w:ascii="TimesNewRoman" w:hAnsi="TimesNewRoman" w:eastAsia="仿宋_GB2312" w:cs="TimesNewRoman"/>
          <w:sz w:val="32"/>
          <w:szCs w:val="32"/>
        </w:rPr>
        <w:t>2023年收支总预算</w:t>
      </w:r>
      <w:r>
        <w:rPr>
          <w:rFonts w:hint="eastAsia" w:ascii="TimesNewRoman" w:hAnsi="TimesNewRoman" w:eastAsia="仿宋_GB2312" w:cs="TimesNewRoman"/>
          <w:sz w:val="32"/>
          <w:szCs w:val="32"/>
          <w:lang w:val="en-US" w:eastAsia="zh-CN"/>
        </w:rPr>
        <w:t>256.4</w:t>
      </w:r>
      <w:r>
        <w:rPr>
          <w:rFonts w:hint="eastAsia" w:ascii="TimesNewRoman" w:hAnsi="TimesNewRoman" w:eastAsia="仿宋_GB2312" w:cs="TimesNewRoman"/>
          <w:sz w:val="32"/>
          <w:szCs w:val="32"/>
        </w:rPr>
        <w:t>万元，收入包括一般公共预算拨款收入，支出包括：社会保障和就业支出、卫生健康支出、住房保障支出。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二、关于2023年收入总表的说明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2023年收入预算</w:t>
      </w:r>
      <w:r>
        <w:rPr>
          <w:rFonts w:hint="eastAsia" w:ascii="TimesNewRoman" w:hAnsi="TimesNewRoman" w:eastAsia="仿宋_GB2312" w:cs="TimesNewRoman"/>
          <w:kern w:val="0"/>
          <w:sz w:val="32"/>
          <w:szCs w:val="32"/>
          <w:lang w:val="en-US" w:eastAsia="zh-CN"/>
        </w:rPr>
        <w:t>256.4</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kern w:val="0"/>
          <w:sz w:val="32"/>
          <w:szCs w:val="32"/>
          <w:lang w:val="en-US" w:eastAsia="zh-CN"/>
        </w:rPr>
        <w:t>256.4</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b/>
          <w:kern w:val="0"/>
          <w:sz w:val="32"/>
          <w:szCs w:val="32"/>
          <w:lang w:val="en-US" w:eastAsia="zh-CN"/>
        </w:rPr>
        <w:t>256.4</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kern w:val="0"/>
          <w:sz w:val="32"/>
          <w:szCs w:val="32"/>
          <w:lang w:val="en-US" w:eastAsia="zh-CN"/>
        </w:rPr>
        <w:t>256.4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%，比2022年预算增加</w:t>
      </w:r>
      <w:r>
        <w:rPr>
          <w:rFonts w:hint="eastAsia" w:ascii="TimesNewRoman" w:hAnsi="TimesNewRoman" w:eastAsia="仿宋_GB2312" w:cs="TimesNewRoman"/>
          <w:kern w:val="0"/>
          <w:sz w:val="32"/>
          <w:szCs w:val="32"/>
          <w:lang w:val="en-US" w:eastAsia="zh-CN"/>
        </w:rPr>
        <w:t>33.27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14.91</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人员增加</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三、关于2023年支出总表的说明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2023年支出预算</w:t>
      </w:r>
      <w:r>
        <w:rPr>
          <w:rFonts w:hint="eastAsia" w:ascii="TimesNewRoman" w:hAnsi="TimesNewRoman" w:eastAsia="仿宋_GB2312" w:cs="TimesNewRoman"/>
          <w:kern w:val="0"/>
          <w:sz w:val="32"/>
          <w:szCs w:val="32"/>
          <w:lang w:val="en-US" w:eastAsia="zh-CN"/>
        </w:rPr>
        <w:t>256.4</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33.27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14.91</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人员增加</w:t>
      </w:r>
      <w:r>
        <w:rPr>
          <w:rFonts w:hint="eastAsia" w:ascii="TimesNewRoman" w:hAnsi="TimesNewRoman" w:eastAsia="仿宋_GB2312" w:cs="TimesNewRoman"/>
          <w:kern w:val="0"/>
          <w:sz w:val="32"/>
          <w:szCs w:val="32"/>
        </w:rPr>
        <w:t>。其中，基本支出</w:t>
      </w:r>
      <w:r>
        <w:rPr>
          <w:rFonts w:hint="eastAsia" w:ascii="TimesNewRoman" w:hAnsi="TimesNewRoman" w:eastAsia="仿宋_GB2312" w:cs="TimesNewRoman"/>
          <w:kern w:val="0"/>
          <w:sz w:val="32"/>
          <w:szCs w:val="32"/>
          <w:lang w:val="en-US" w:eastAsia="zh-CN"/>
        </w:rPr>
        <w:t>170.6</w:t>
      </w:r>
      <w:r>
        <w:rPr>
          <w:rFonts w:hint="eastAsia" w:ascii="TimesNewRoman" w:hAnsi="TimesNewRoman" w:eastAsia="仿宋_GB2312" w:cs="TimesNewRoman"/>
          <w:kern w:val="0"/>
          <w:sz w:val="32"/>
          <w:szCs w:val="32"/>
        </w:rPr>
        <w:t>元，占</w:t>
      </w:r>
      <w:r>
        <w:rPr>
          <w:rFonts w:hint="eastAsia" w:ascii="TimesNewRoman" w:hAnsi="TimesNewRoman" w:eastAsia="仿宋_GB2312" w:cs="TimesNewRoman"/>
          <w:kern w:val="0"/>
          <w:sz w:val="32"/>
          <w:szCs w:val="32"/>
          <w:lang w:val="en-US" w:eastAsia="zh-CN"/>
        </w:rPr>
        <w:t>66.54</w:t>
      </w:r>
      <w:r>
        <w:rPr>
          <w:rFonts w:hint="eastAsia" w:ascii="TimesNewRoman" w:hAnsi="TimesNewRoman" w:eastAsia="仿宋_GB2312" w:cs="TimesNewRoman"/>
          <w:kern w:val="0"/>
          <w:sz w:val="32"/>
          <w:szCs w:val="32"/>
        </w:rPr>
        <w:t>%，主要用于保障机构日常运转、完成日常工作任务；项目支出</w:t>
      </w:r>
      <w:r>
        <w:rPr>
          <w:rFonts w:hint="eastAsia" w:ascii="TimesNewRoman" w:hAnsi="TimesNewRoman" w:eastAsia="仿宋_GB2312" w:cs="TimesNewRoman"/>
          <w:kern w:val="0"/>
          <w:sz w:val="32"/>
          <w:szCs w:val="32"/>
          <w:lang w:val="en-US" w:eastAsia="zh-CN"/>
        </w:rPr>
        <w:t>85.8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33.46</w:t>
      </w:r>
      <w:r>
        <w:rPr>
          <w:rFonts w:hint="eastAsia" w:ascii="TimesNewRoman" w:hAnsi="TimesNewRoman" w:eastAsia="仿宋_GB2312" w:cs="TimesNewRoman"/>
          <w:kern w:val="0"/>
          <w:sz w:val="32"/>
          <w:szCs w:val="32"/>
        </w:rPr>
        <w:t>%，主要用于困难残疾儿童抢救性精准康复和残疾儿童早期干预试点。</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四、关于2023年财政拨款收支总表的说明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2023年财政拨款收支预算</w:t>
      </w:r>
      <w:r>
        <w:rPr>
          <w:rFonts w:hint="eastAsia" w:ascii="TimesNewRoman" w:hAnsi="TimesNewRoman" w:eastAsia="仿宋_GB2312" w:cs="TimesNewRoman"/>
          <w:kern w:val="0"/>
          <w:sz w:val="32"/>
          <w:szCs w:val="32"/>
          <w:lang w:val="en-US" w:eastAsia="zh-CN"/>
        </w:rPr>
        <w:t>256.4</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kern w:val="0"/>
          <w:sz w:val="32"/>
          <w:szCs w:val="32"/>
          <w:lang w:val="en-US" w:eastAsia="zh-CN"/>
        </w:rPr>
        <w:t>256.4</w:t>
      </w:r>
      <w:r>
        <w:rPr>
          <w:rFonts w:hint="eastAsia" w:ascii="TimesNewRoman" w:hAnsi="TimesNewRoman" w:eastAsia="仿宋_GB2312" w:cs="TimesNewRoman"/>
          <w:kern w:val="0"/>
          <w:sz w:val="32"/>
          <w:szCs w:val="32"/>
        </w:rPr>
        <w:t>万元、政府性基金预算拨款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kern w:val="0"/>
          <w:sz w:val="32"/>
          <w:szCs w:val="32"/>
          <w:lang w:val="en-US" w:eastAsia="zh-CN"/>
        </w:rPr>
        <w:t>256.4</w:t>
      </w:r>
      <w:r>
        <w:rPr>
          <w:rFonts w:hint="eastAsia" w:ascii="TimesNewRoman" w:hAnsi="TimesNewRoman" w:eastAsia="仿宋_GB2312" w:cs="TimesNewRoman"/>
          <w:kern w:val="0"/>
          <w:sz w:val="32"/>
          <w:szCs w:val="32"/>
        </w:rPr>
        <w:t>万元。支出按功能分类分为：社会保障和就业支出</w:t>
      </w:r>
      <w:r>
        <w:rPr>
          <w:rFonts w:hint="eastAsia" w:ascii="TimesNewRoman" w:hAnsi="TimesNewRoman" w:eastAsia="仿宋_GB2312" w:cs="TimesNewRoman"/>
          <w:kern w:val="0"/>
          <w:sz w:val="32"/>
          <w:szCs w:val="32"/>
          <w:lang w:val="en-US" w:eastAsia="zh-CN"/>
        </w:rPr>
        <w:t>230.29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89.82</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8.77</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3.42</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17.34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6.76</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五、关于2023年一般公共预算支出表的说明</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2023年一般公共预算支出</w:t>
      </w:r>
      <w:r>
        <w:rPr>
          <w:rFonts w:hint="eastAsia" w:ascii="TimesNewRoman" w:hAnsi="TimesNewRoman" w:eastAsia="仿宋_GB2312" w:cs="TimesNewRoman"/>
          <w:kern w:val="0"/>
          <w:sz w:val="32"/>
          <w:szCs w:val="32"/>
          <w:lang w:val="en-US" w:eastAsia="zh-CN"/>
        </w:rPr>
        <w:t>256.4</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33.27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14.91</w:t>
      </w:r>
      <w:r>
        <w:rPr>
          <w:rFonts w:hint="eastAsia" w:ascii="TimesNewRoman" w:hAnsi="TimesNewRoman" w:eastAsia="仿宋_GB2312" w:cs="TimesNewRoman"/>
          <w:kern w:val="0"/>
          <w:sz w:val="32"/>
          <w:szCs w:val="32"/>
        </w:rPr>
        <w:t>%，主要原因</w:t>
      </w:r>
      <w:r>
        <w:rPr>
          <w:rFonts w:hint="eastAsia" w:ascii="TimesNewRoman" w:hAnsi="TimesNewRoman" w:eastAsia="仿宋_GB2312" w:cs="TimesNewRoman"/>
          <w:kern w:val="0"/>
          <w:sz w:val="32"/>
          <w:szCs w:val="32"/>
          <w:lang w:eastAsia="zh-CN"/>
        </w:rPr>
        <w:t>是人员增加</w:t>
      </w:r>
      <w:r>
        <w:rPr>
          <w:rFonts w:hint="eastAsia" w:ascii="TimesNewRoman" w:hAnsi="TimesNewRoman" w:eastAsia="仿宋_GB2312" w:cs="TimesNewRoman"/>
          <w:kern w:val="0"/>
          <w:sz w:val="32"/>
          <w:szCs w:val="32"/>
        </w:rPr>
        <w:t>。</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230.29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89.82</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8.77</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3.42</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17.34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6.76</w:t>
      </w:r>
      <w:r>
        <w:rPr>
          <w:rFonts w:hint="eastAsia" w:ascii="TimesNewRoman" w:hAnsi="TimesNewRoman" w:eastAsia="仿宋_GB2312" w:cs="TimesNewRoman"/>
          <w:kern w:val="0"/>
          <w:sz w:val="32"/>
          <w:szCs w:val="32"/>
        </w:rPr>
        <w:t>%。</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事业单位离退休</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15.97</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14.03</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723.19</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预算增加退休人员绩效</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机关事业单位基本养老保险缴费支出</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14.38</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3.97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38.14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人员增加，基数调整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机关事业单位职业年金缴费支出</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7.19</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1.98</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38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人员增加，基数调整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4、社会保障和就业支出（类）</w:t>
      </w:r>
      <w:r>
        <w:rPr>
          <w:rFonts w:hint="eastAsia" w:ascii="TimesNewRoman" w:hAnsi="TimesNewRoman" w:eastAsia="仿宋_GB2312" w:cs="TimesNewRoman"/>
          <w:kern w:val="0"/>
          <w:sz w:val="32"/>
          <w:szCs w:val="32"/>
          <w:lang w:eastAsia="zh-CN"/>
        </w:rPr>
        <w:t>残疾人事业</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一般行政管理事务</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5.43</w:t>
      </w:r>
      <w:r>
        <w:rPr>
          <w:rFonts w:hint="eastAsia" w:ascii="TimesNewRoman" w:hAnsi="TimesNewRoman" w:eastAsia="仿宋_GB2312" w:cs="TimesNewRoman"/>
          <w:kern w:val="0"/>
          <w:sz w:val="32"/>
          <w:szCs w:val="32"/>
        </w:rPr>
        <w:t>万元，比2022年预算减少</w:t>
      </w:r>
      <w:r>
        <w:rPr>
          <w:rFonts w:hint="eastAsia" w:ascii="TimesNewRoman" w:hAnsi="TimesNewRoman" w:eastAsia="仿宋_GB2312" w:cs="TimesNewRoman"/>
          <w:kern w:val="0"/>
          <w:sz w:val="32"/>
          <w:szCs w:val="32"/>
          <w:lang w:val="en-US" w:eastAsia="zh-CN"/>
        </w:rPr>
        <w:t>4.39</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44.7</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项目调整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、社会保障和就业支出（类）</w:t>
      </w:r>
      <w:r>
        <w:rPr>
          <w:rFonts w:hint="eastAsia" w:ascii="TimesNewRoman" w:hAnsi="TimesNewRoman" w:eastAsia="仿宋_GB2312" w:cs="TimesNewRoman"/>
          <w:kern w:val="0"/>
          <w:sz w:val="32"/>
          <w:szCs w:val="32"/>
          <w:lang w:eastAsia="zh-CN"/>
        </w:rPr>
        <w:t>残疾人事业</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残疾人康复</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101.04</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29.61</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41.45</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人员增加，预算增加在职人员绩效</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、社会保障和就业支出（类）</w:t>
      </w:r>
      <w:r>
        <w:rPr>
          <w:rFonts w:hint="eastAsia" w:ascii="TimesNewRoman" w:hAnsi="TimesNewRoman" w:eastAsia="仿宋_GB2312" w:cs="TimesNewRoman"/>
          <w:kern w:val="0"/>
          <w:sz w:val="32"/>
          <w:szCs w:val="32"/>
          <w:lang w:eastAsia="zh-CN"/>
        </w:rPr>
        <w:t>残疾人事业</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其他残疾人事业支出</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85.8</w:t>
      </w:r>
      <w:r>
        <w:rPr>
          <w:rFonts w:hint="eastAsia" w:ascii="TimesNewRoman" w:hAnsi="TimesNewRoman" w:eastAsia="仿宋_GB2312" w:cs="TimesNewRoman"/>
          <w:kern w:val="0"/>
          <w:sz w:val="32"/>
          <w:szCs w:val="32"/>
        </w:rPr>
        <w:t>万元，比2022年预算减少</w:t>
      </w:r>
      <w:r>
        <w:rPr>
          <w:rFonts w:hint="eastAsia" w:ascii="TimesNewRoman" w:hAnsi="TimesNewRoman" w:eastAsia="仿宋_GB2312" w:cs="TimesNewRoman"/>
          <w:kern w:val="0"/>
          <w:sz w:val="32"/>
          <w:szCs w:val="32"/>
          <w:lang w:val="en-US" w:eastAsia="zh-CN"/>
        </w:rPr>
        <w:t>11.7</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12</w:t>
      </w:r>
      <w:r>
        <w:rPr>
          <w:rFonts w:hint="eastAsia" w:ascii="TimesNewRoman" w:hAnsi="TimesNewRoman" w:eastAsia="仿宋_GB2312" w:cs="TimesNewRoman"/>
          <w:kern w:val="0"/>
          <w:sz w:val="32"/>
          <w:szCs w:val="32"/>
        </w:rPr>
        <w:t>%，原因主要是困难残疾儿童抢救性精准康复和残疾儿童早期干预试点</w:t>
      </w:r>
      <w:r>
        <w:rPr>
          <w:rFonts w:hint="eastAsia" w:ascii="TimesNewRoman" w:hAnsi="TimesNewRoman" w:eastAsia="仿宋_GB2312" w:cs="TimesNewRoman"/>
          <w:kern w:val="0"/>
          <w:sz w:val="32"/>
          <w:szCs w:val="32"/>
          <w:lang w:eastAsia="zh-CN"/>
        </w:rPr>
        <w:t>项目预算减少</w:t>
      </w:r>
      <w:r>
        <w:rPr>
          <w:rFonts w:hint="eastAsia" w:ascii="TimesNewRoman" w:hAnsi="TimesNewRoman" w:eastAsia="仿宋_GB2312" w:cs="TimesNewRoman"/>
          <w:kern w:val="0"/>
          <w:sz w:val="32"/>
          <w:szCs w:val="32"/>
          <w:lang w:val="en-US" w:eastAsia="zh-CN"/>
        </w:rPr>
        <w:t>11.7万元</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7</w:t>
      </w:r>
      <w:r>
        <w:rPr>
          <w:rFonts w:hint="eastAsia" w:ascii="TimesNewRoman" w:hAnsi="TimesNewRoman" w:eastAsia="仿宋_GB2312" w:cs="TimesNewRoman"/>
          <w:kern w:val="0"/>
          <w:sz w:val="32"/>
          <w:szCs w:val="32"/>
        </w:rPr>
        <w:t>、社会保障和就业支出（类）</w:t>
      </w:r>
      <w:r>
        <w:rPr>
          <w:rFonts w:hint="eastAsia" w:ascii="TimesNewRoman" w:hAnsi="TimesNewRoman" w:eastAsia="仿宋_GB2312" w:cs="TimesNewRoman"/>
          <w:kern w:val="0"/>
          <w:sz w:val="32"/>
          <w:szCs w:val="32"/>
          <w:lang w:eastAsia="zh-CN"/>
        </w:rPr>
        <w:t>其他社会保障和就业支出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其他社会保障和就业支出</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0.47</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0.01</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2.17</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卫生健康支出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行政事业单位医疗</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事业单位医疗</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5.69</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0.22</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4.02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卫生健康支出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行政事业单位医疗</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公务员医疗补助</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3.07</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0.14</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4.78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10</w:t>
      </w:r>
      <w:r>
        <w:rPr>
          <w:rFonts w:hint="eastAsia" w:ascii="TimesNewRoman" w:hAnsi="TimesNewRoman" w:eastAsia="仿宋_GB2312" w:cs="TimesNewRoman"/>
          <w:kern w:val="0"/>
          <w:sz w:val="32"/>
          <w:szCs w:val="32"/>
        </w:rPr>
        <w:t>、住房保障支出（类）住房改革支出（款）住房公积金（项）2023年预算</w:t>
      </w:r>
      <w:r>
        <w:rPr>
          <w:rFonts w:hint="eastAsia" w:ascii="TimesNewRoman" w:hAnsi="TimesNewRoman" w:eastAsia="仿宋_GB2312" w:cs="TimesNewRoman"/>
          <w:kern w:val="0"/>
          <w:sz w:val="32"/>
          <w:szCs w:val="32"/>
          <w:lang w:val="en-US" w:eastAsia="zh-CN"/>
        </w:rPr>
        <w:t>12.24</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0.72</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6.25</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11</w:t>
      </w:r>
      <w:r>
        <w:rPr>
          <w:rFonts w:hint="eastAsia" w:ascii="TimesNewRoman" w:hAnsi="TimesNewRoman" w:eastAsia="仿宋_GB2312" w:cs="TimesNewRoman"/>
          <w:kern w:val="0"/>
          <w:sz w:val="32"/>
          <w:szCs w:val="32"/>
        </w:rPr>
        <w:t>、住房保障支出（类）住房改革支出（款）</w:t>
      </w:r>
      <w:r>
        <w:rPr>
          <w:rFonts w:hint="eastAsia" w:ascii="TimesNewRoman" w:hAnsi="TimesNewRoman" w:eastAsia="仿宋_GB2312" w:cs="TimesNewRoman"/>
          <w:kern w:val="0"/>
          <w:sz w:val="32"/>
          <w:szCs w:val="32"/>
          <w:lang w:eastAsia="zh-CN"/>
        </w:rPr>
        <w:t>购房补贴</w:t>
      </w:r>
      <w:r>
        <w:rPr>
          <w:rFonts w:hint="eastAsia" w:ascii="TimesNewRoman" w:hAnsi="TimesNewRoman" w:eastAsia="仿宋_GB2312" w:cs="TimesNewRoman"/>
          <w:kern w:val="0"/>
          <w:sz w:val="32"/>
          <w:szCs w:val="32"/>
        </w:rPr>
        <w:t>（项）2023年预算</w:t>
      </w:r>
      <w:r>
        <w:rPr>
          <w:rFonts w:hint="eastAsia" w:ascii="TimesNewRoman" w:hAnsi="TimesNewRoman" w:eastAsia="仿宋_GB2312" w:cs="TimesNewRoman"/>
          <w:kern w:val="0"/>
          <w:sz w:val="32"/>
          <w:szCs w:val="32"/>
          <w:lang w:val="en-US" w:eastAsia="zh-CN"/>
        </w:rPr>
        <w:t>5.1</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0.3</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6.25</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基数调整</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六、关于2023年一般公共预算基本支出表的说明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2023年一般公共预算基本支出</w:t>
      </w:r>
      <w:r>
        <w:rPr>
          <w:rFonts w:hint="eastAsia" w:ascii="TimesNewRoman" w:hAnsi="TimesNewRoman" w:eastAsia="仿宋_GB2312" w:cs="TimesNewRoman"/>
          <w:kern w:val="0"/>
          <w:sz w:val="32"/>
          <w:szCs w:val="32"/>
          <w:lang w:val="en-US" w:eastAsia="zh-CN"/>
        </w:rPr>
        <w:t>170.6</w:t>
      </w:r>
      <w:r>
        <w:rPr>
          <w:rFonts w:hint="eastAsia" w:ascii="TimesNewRoman" w:hAnsi="TimesNewRoman" w:eastAsia="仿宋_GB2312" w:cs="TimesNewRoman"/>
          <w:kern w:val="0"/>
          <w:sz w:val="32"/>
          <w:szCs w:val="32"/>
        </w:rPr>
        <w:t>万元，其中，人员经费</w:t>
      </w:r>
      <w:r>
        <w:rPr>
          <w:rFonts w:hint="eastAsia" w:ascii="TimesNewRoman" w:hAnsi="TimesNewRoman" w:eastAsia="仿宋_GB2312" w:cs="TimesNewRoman"/>
          <w:kern w:val="0"/>
          <w:sz w:val="32"/>
          <w:szCs w:val="32"/>
          <w:lang w:val="en-US" w:eastAsia="zh-CN"/>
        </w:rPr>
        <w:t>161</w:t>
      </w:r>
      <w:r>
        <w:rPr>
          <w:rFonts w:hint="eastAsia" w:ascii="TimesNewRoman" w:hAnsi="TimesNewRoman" w:eastAsia="仿宋_GB2312" w:cs="TimesNewRoman"/>
          <w:kern w:val="0"/>
          <w:sz w:val="32"/>
          <w:szCs w:val="32"/>
        </w:rPr>
        <w:t>万元，公用经费</w:t>
      </w:r>
      <w:r>
        <w:rPr>
          <w:rFonts w:hint="eastAsia" w:ascii="TimesNewRoman" w:hAnsi="TimesNewRoman" w:eastAsia="仿宋_GB2312" w:cs="TimesNewRoman"/>
          <w:kern w:val="0"/>
          <w:sz w:val="32"/>
          <w:szCs w:val="32"/>
          <w:lang w:val="en-US" w:eastAsia="zh-CN"/>
        </w:rPr>
        <w:t>9.6</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（一）人员经费</w:t>
      </w:r>
      <w:r>
        <w:rPr>
          <w:rFonts w:hint="eastAsia" w:ascii="TimesNewRoman" w:hAnsi="TimesNewRoman" w:eastAsia="仿宋_GB2312" w:cs="TimesNewRoman"/>
          <w:b/>
          <w:kern w:val="0"/>
          <w:sz w:val="32"/>
          <w:szCs w:val="32"/>
          <w:lang w:val="en-US" w:eastAsia="zh-CN"/>
        </w:rPr>
        <w:t>161</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津贴补贴、奖金、绩效工资、机关事业单位基本养老保险费、职业年金缴费、职工基本医疗保险缴费、公务员医疗补助缴费、其他社会保障缴费、工会经费、福利费、住房公积金、退休费、医疗费补助、对其他个人和家庭的补助支出。</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（二）公用经费</w:t>
      </w:r>
      <w:r>
        <w:rPr>
          <w:rFonts w:hint="eastAsia" w:ascii="TimesNewRoman" w:hAnsi="TimesNewRoman" w:eastAsia="仿宋_GB2312" w:cs="TimesNewRoman"/>
          <w:b/>
          <w:kern w:val="0"/>
          <w:sz w:val="32"/>
          <w:szCs w:val="32"/>
          <w:lang w:val="en-US" w:eastAsia="zh-CN"/>
        </w:rPr>
        <w:t>9.6</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主要包括：其他商品服务支出等。</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七、关于2023年政府性基金预算支出表的说明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2023年没有政府性基金预算拨款收入，也没有使用政府性基金预算拨款安排的支出。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八、关于2023年国有资本经营预算支出表的说明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2023年没有国有资本经营预算拨款收入，也没有使用国有资本经营预算拨款安排的支出。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九、关于2023年项目支出表的说明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2023年预算共安排项目支出</w:t>
      </w:r>
      <w:r>
        <w:rPr>
          <w:rFonts w:hint="eastAsia" w:ascii="TimesNewRoman" w:hAnsi="TimesNewRoman" w:eastAsia="仿宋_GB2312" w:cs="TimesNewRoman"/>
          <w:kern w:val="0"/>
          <w:sz w:val="32"/>
          <w:szCs w:val="32"/>
          <w:lang w:val="en-US" w:eastAsia="zh-CN"/>
        </w:rPr>
        <w:t>85.8</w:t>
      </w:r>
      <w:r>
        <w:rPr>
          <w:rFonts w:hint="eastAsia" w:ascii="TimesNewRoman" w:hAnsi="TimesNewRoman" w:eastAsia="仿宋_GB2312" w:cs="TimesNewRoman"/>
          <w:kern w:val="0"/>
          <w:sz w:val="32"/>
          <w:szCs w:val="32"/>
        </w:rPr>
        <w:t>万元，比2022年预算减少</w:t>
      </w:r>
      <w:r>
        <w:rPr>
          <w:rFonts w:hint="eastAsia" w:ascii="TimesNewRoman" w:hAnsi="TimesNewRoman" w:eastAsia="仿宋_GB2312" w:cs="TimesNewRoman"/>
          <w:kern w:val="0"/>
          <w:sz w:val="32"/>
          <w:szCs w:val="32"/>
          <w:lang w:val="en-US" w:eastAsia="zh-CN"/>
        </w:rPr>
        <w:t>11.7</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12</w:t>
      </w:r>
      <w:r>
        <w:rPr>
          <w:rFonts w:hint="eastAsia" w:ascii="TimesNewRoman" w:hAnsi="TimesNewRoman" w:eastAsia="仿宋_GB2312" w:cs="TimesNewRoman"/>
          <w:kern w:val="0"/>
          <w:sz w:val="32"/>
          <w:szCs w:val="32"/>
        </w:rPr>
        <w:t>%，原因主要是困难残疾儿童抢救性精准康复和残疾儿童早期干预试点</w:t>
      </w:r>
      <w:r>
        <w:rPr>
          <w:rFonts w:hint="eastAsia" w:ascii="TimesNewRoman" w:hAnsi="TimesNewRoman" w:eastAsia="仿宋_GB2312" w:cs="TimesNewRoman"/>
          <w:kern w:val="0"/>
          <w:sz w:val="32"/>
          <w:szCs w:val="32"/>
          <w:lang w:eastAsia="zh-CN"/>
        </w:rPr>
        <w:t>项目预算减少</w:t>
      </w:r>
      <w:r>
        <w:rPr>
          <w:rFonts w:hint="eastAsia" w:ascii="TimesNewRoman" w:hAnsi="TimesNewRoman" w:eastAsia="仿宋_GB2312" w:cs="TimesNewRoman"/>
          <w:kern w:val="0"/>
          <w:sz w:val="32"/>
          <w:szCs w:val="32"/>
          <w:lang w:val="en-US" w:eastAsia="zh-CN"/>
        </w:rPr>
        <w:t>11.7万元</w:t>
      </w:r>
      <w:r>
        <w:rPr>
          <w:rFonts w:hint="eastAsia" w:ascii="TimesNewRoman" w:hAnsi="TimesNewRoman" w:eastAsia="仿宋_GB2312" w:cs="TimesNewRoman"/>
          <w:kern w:val="0"/>
          <w:sz w:val="32"/>
          <w:szCs w:val="32"/>
        </w:rPr>
        <w:t>。主要包括：本年财政拨款安排</w:t>
      </w:r>
      <w:r>
        <w:rPr>
          <w:rFonts w:hint="eastAsia" w:ascii="TimesNewRoman" w:hAnsi="TimesNewRoman" w:eastAsia="仿宋_GB2312" w:cs="TimesNewRoman"/>
          <w:kern w:val="0"/>
          <w:sz w:val="32"/>
          <w:szCs w:val="32"/>
          <w:lang w:val="en-US" w:eastAsia="zh-CN"/>
        </w:rPr>
        <w:t>85.8</w:t>
      </w:r>
      <w:r>
        <w:rPr>
          <w:rFonts w:hint="eastAsia" w:ascii="TimesNewRoman" w:hAnsi="TimesNewRoman" w:eastAsia="仿宋_GB2312" w:cs="TimesNewRoman"/>
          <w:kern w:val="0"/>
          <w:sz w:val="32"/>
          <w:szCs w:val="32"/>
        </w:rPr>
        <w:t>万元（其中，一般公共预算拨款安排</w:t>
      </w:r>
      <w:r>
        <w:rPr>
          <w:rFonts w:hint="eastAsia" w:ascii="TimesNewRoman" w:hAnsi="TimesNewRoman" w:eastAsia="仿宋_GB2312" w:cs="TimesNewRoman"/>
          <w:kern w:val="0"/>
          <w:sz w:val="32"/>
          <w:szCs w:val="32"/>
          <w:lang w:val="en-US" w:eastAsia="zh-CN"/>
        </w:rPr>
        <w:t>85.8</w:t>
      </w:r>
      <w:r>
        <w:rPr>
          <w:rFonts w:hint="eastAsia" w:ascii="TimesNewRoman" w:hAnsi="TimesNewRoman" w:eastAsia="仿宋_GB2312" w:cs="TimesNewRoman"/>
          <w:kern w:val="0"/>
          <w:sz w:val="32"/>
          <w:szCs w:val="32"/>
        </w:rPr>
        <w:t>万元，政府性基金预算拨款安排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十、关于2023年政府采购支出表的说明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2023年预算安排政府采购支出</w:t>
      </w:r>
      <w:r>
        <w:rPr>
          <w:rFonts w:hint="eastAsia" w:ascii="TimesNewRoman" w:hAnsi="TimesNewRoman" w:eastAsia="仿宋_GB2312" w:cs="TimesNewRoman"/>
          <w:kern w:val="0"/>
          <w:sz w:val="32"/>
          <w:szCs w:val="32"/>
          <w:lang w:val="en-US" w:eastAsia="zh-CN"/>
        </w:rPr>
        <w:t>14.8</w:t>
      </w:r>
      <w:r>
        <w:rPr>
          <w:rFonts w:hint="eastAsia" w:ascii="TimesNewRoman" w:hAnsi="TimesNewRoman" w:eastAsia="仿宋_GB2312" w:cs="TimesNewRoman"/>
          <w:kern w:val="0"/>
          <w:sz w:val="32"/>
          <w:szCs w:val="32"/>
        </w:rPr>
        <w:t>万元，比2022年预算增加</w:t>
      </w:r>
      <w:r>
        <w:rPr>
          <w:rFonts w:hint="eastAsia" w:ascii="TimesNewRoman" w:hAnsi="TimesNewRoman" w:eastAsia="仿宋_GB2312" w:cs="TimesNewRoman"/>
          <w:kern w:val="0"/>
          <w:sz w:val="32"/>
          <w:szCs w:val="32"/>
          <w:lang w:val="en-US" w:eastAsia="zh-CN"/>
        </w:rPr>
        <w:t>14.8</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进行</w:t>
      </w:r>
      <w:r>
        <w:rPr>
          <w:rFonts w:hint="eastAsia" w:ascii="TimesNewRoman" w:hAnsi="TimesNewRoman" w:eastAsia="仿宋_GB2312" w:cs="TimesNewRoman"/>
          <w:kern w:val="0"/>
          <w:sz w:val="32"/>
          <w:szCs w:val="32"/>
        </w:rPr>
        <w:t>听障儿童听力康复训练活动室环境处理。其中，一般公共预算安排</w:t>
      </w:r>
      <w:r>
        <w:rPr>
          <w:rFonts w:hint="eastAsia" w:ascii="TimesNewRoman" w:hAnsi="TimesNewRoman" w:eastAsia="仿宋_GB2312" w:cs="TimesNewRoman"/>
          <w:kern w:val="0"/>
          <w:sz w:val="32"/>
          <w:szCs w:val="32"/>
          <w:lang w:val="en-US" w:eastAsia="zh-CN"/>
        </w:rPr>
        <w:t>14.8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%；政府性基金预算安排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十一、关于2023年政府购买服务支出表的说明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2023年没有安排政府购买服务支出。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1、“困难残疾儿童抢救性精准康复和残疾儿童早期干预试点项目”项目。</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（1）项目概述。</w:t>
      </w:r>
      <w:r>
        <w:rPr>
          <w:rFonts w:hint="eastAsia" w:ascii="仿宋_GB2312" w:eastAsia="仿宋_GB2312"/>
          <w:sz w:val="32"/>
          <w:szCs w:val="32"/>
        </w:rPr>
        <w:t>市聋儿语训中心是困难残疾儿童抢救性精准康复和残疾儿童早期干预试点项目项目定点机构，202</w:t>
      </w:r>
      <w:r>
        <w:rPr>
          <w:rFonts w:hint="eastAsia" w:ascii="仿宋_GB2312" w:eastAsia="仿宋_GB2312"/>
          <w:sz w:val="32"/>
          <w:szCs w:val="32"/>
          <w:lang w:val="en-US" w:eastAsia="zh-CN"/>
        </w:rPr>
        <w:t>3</w:t>
      </w:r>
      <w:r>
        <w:rPr>
          <w:rFonts w:hint="eastAsia" w:ascii="仿宋_GB2312" w:eastAsia="仿宋_GB2312"/>
          <w:sz w:val="32"/>
          <w:szCs w:val="32"/>
        </w:rPr>
        <w:t>年预计收训残疾儿童</w:t>
      </w:r>
      <w:r>
        <w:rPr>
          <w:rFonts w:hint="eastAsia" w:ascii="仿宋_GB2312" w:eastAsia="仿宋_GB2312"/>
          <w:sz w:val="32"/>
          <w:szCs w:val="32"/>
          <w:lang w:val="en-US" w:eastAsia="zh-CN"/>
        </w:rPr>
        <w:t>50</w:t>
      </w:r>
      <w:r>
        <w:rPr>
          <w:rFonts w:hint="eastAsia" w:ascii="仿宋_GB2312" w:eastAsia="仿宋_GB2312"/>
          <w:sz w:val="32"/>
          <w:szCs w:val="32"/>
        </w:rPr>
        <w:t>名，补贴经费</w:t>
      </w:r>
      <w:r>
        <w:rPr>
          <w:rFonts w:hint="eastAsia" w:ascii="仿宋_GB2312" w:eastAsia="仿宋_GB2312"/>
          <w:sz w:val="32"/>
          <w:szCs w:val="32"/>
          <w:lang w:val="en-US" w:eastAsia="zh-CN"/>
        </w:rPr>
        <w:t>85.8</w:t>
      </w:r>
      <w:r>
        <w:rPr>
          <w:rFonts w:hint="eastAsia" w:ascii="仿宋_GB2312" w:eastAsia="仿宋_GB2312"/>
          <w:sz w:val="32"/>
          <w:szCs w:val="32"/>
        </w:rPr>
        <w:t>万元</w:t>
      </w:r>
      <w:r>
        <w:rPr>
          <w:rFonts w:hint="eastAsia" w:ascii="仿宋_GB2312" w:eastAsia="仿宋_GB2312"/>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（2）立项依据。</w:t>
      </w:r>
      <w:r>
        <w:rPr>
          <w:rFonts w:hint="eastAsia" w:ascii="仿宋_GB2312" w:eastAsia="仿宋_GB2312"/>
          <w:sz w:val="32"/>
          <w:szCs w:val="32"/>
        </w:rPr>
        <w:t>根据安徽省残疾人联合会《关于印发安徽省&lt;贫困残疾儿童抢救性康复项目实施方案&gt;七个单项实施办法的通知》（皖残联[2012]7号）、安徽省残疾人康复办公室《关于对基层听力语言康复机构业务建设评估考核的通知》（皖残联[2015]9号）、淮北市残疾人联合会《关于印发&lt;淮北市2022年困难残疾人康复实施方案&gt;的通知》（淮残联[2022]11号）文件要求。</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聋儿语训中心。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val="en-US" w:eastAsia="zh-CN"/>
        </w:rPr>
        <w:t>2023年。</w:t>
      </w:r>
    </w:p>
    <w:p>
      <w:pPr>
        <w:ind w:firstLine="640" w:firstLineChars="200"/>
        <w:rPr>
          <w:rFonts w:hint="eastAsia" w:ascii="仿宋_GB2312" w:eastAsia="仿宋_GB2312"/>
          <w:sz w:val="32"/>
          <w:szCs w:val="32"/>
        </w:rPr>
      </w:pPr>
      <w:r>
        <w:rPr>
          <w:rFonts w:hint="eastAsia" w:ascii="TimesNewRoman" w:hAnsi="TimesNewRoman" w:eastAsia="仿宋_GB2312" w:cs="TimesNewRoman"/>
          <w:kern w:val="0"/>
          <w:sz w:val="32"/>
          <w:szCs w:val="32"/>
        </w:rPr>
        <w:t>（5）项目内容。</w:t>
      </w:r>
      <w:r>
        <w:rPr>
          <w:rFonts w:hint="eastAsia" w:ascii="仿宋_GB2312" w:eastAsia="仿宋_GB2312"/>
          <w:sz w:val="32"/>
          <w:szCs w:val="32"/>
        </w:rPr>
        <w:t>1、康复训练与评估、助听器调试与评估、耳膜制作、电池购置、教材、教具、家长培训等机构日常运转；2、每个聋儿生活补贴0.2万元，计13万元；3、根据中残联规范化建设要求，需要教室声学处理等。</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85.8万元。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rPr>
              <w:t>困难残疾儿童抢救性精准康复和残疾儿童早期干预试点项目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淮北市残疾人联合会</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eastAsia="zh-CN"/>
              </w:rPr>
            </w:pPr>
            <w:r>
              <w:rPr>
                <w:rFonts w:hint="eastAsia"/>
                <w:lang w:eastAsia="zh-CN"/>
              </w:rPr>
              <w:t>聋儿语训中心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ascii="宋体" w:cs="宋体"/>
                <w:sz w:val="20"/>
              </w:rPr>
            </w:pP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hint="eastAsia" w:ascii="宋体" w:cs="宋体" w:eastAsiaTheme="minorEastAsia"/>
                <w:sz w:val="20"/>
                <w:lang w:eastAsia="zh-CN"/>
              </w:rPr>
            </w:pPr>
            <w:r>
              <w:rPr>
                <w:rFonts w:hint="eastAsia" w:ascii="宋体" w:cs="宋体"/>
                <w:sz w:val="20"/>
              </w:rPr>
              <w:t>困难残疾儿童抢救性精准康复和残疾儿童早期干预</w:t>
            </w:r>
            <w:r>
              <w:rPr>
                <w:rFonts w:hint="eastAsia" w:ascii="宋体" w:cs="宋体"/>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hAnsi="宋体" w:eastAsia="宋体" w:cs="宋体"/>
                <w:color w:val="000000"/>
                <w:kern w:val="0"/>
                <w:sz w:val="20"/>
                <w:szCs w:val="20"/>
                <w:lang w:eastAsia="zh-CN"/>
              </w:rPr>
              <w:t>在训儿童</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残疾儿童早期干预试点项目儿童</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18人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hint="eastAsia" w:ascii="宋体" w:cs="宋体"/>
                <w:sz w:val="20"/>
              </w:rPr>
              <w:t>困难残疾儿童抢救性精准康复训练</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32人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按时完成康复训练</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cs="宋体"/>
                <w:sz w:val="20"/>
              </w:rPr>
              <w:t>困难残疾儿童抢救性精准康复训练项目救助标准</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hint="eastAsia" w:ascii="宋体" w:cs="宋体"/>
                <w:sz w:val="20"/>
              </w:rPr>
              <w:t>残疾儿童早期干预试点项目救助标准</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21000元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w:t>
            </w:r>
          </w:p>
        </w:tc>
        <w:tc>
          <w:tcPr>
            <w:tcW w:w="2872" w:type="dxa"/>
            <w:tcBorders>
              <w:tl2br w:val="nil"/>
              <w:tr2bl w:val="nil"/>
            </w:tcBorders>
            <w:vAlign w:val="center"/>
          </w:tcPr>
          <w:p>
            <w:pPr>
              <w:jc w:val="left"/>
              <w:rPr>
                <w:rFonts w:ascii="宋体" w:cs="宋体"/>
                <w:sz w:val="20"/>
              </w:rPr>
            </w:pP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经济效益</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社会效益</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对0—14岁听障儿童进行听力语言训练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生态效益</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hint="eastAsia" w:ascii="汉仪中秀体简" w:hAnsi="汉仪中秀体简" w:eastAsia="汉仪中秀体简" w:cs="汉仪中秀体简"/>
                <w:color w:val="000000"/>
                <w:kern w:val="0"/>
                <w:sz w:val="20"/>
                <w:szCs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widowControl/>
              <w:jc w:val="left"/>
              <w:textAlignment w:val="center"/>
              <w:rPr>
                <w:rFonts w:ascii="汉仪中秀体简" w:hAnsi="汉仪中秀体简" w:eastAsia="汉仪中秀体简" w:cs="汉仪中秀体简"/>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sz w:val="20"/>
              </w:rPr>
              <w:t>可持续影响</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对0—14岁听障儿童进行听力语言训练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hint="eastAsia" w:ascii="宋体" w:hAnsi="宋体" w:eastAsia="宋体" w:cs="宋体"/>
                <w:sz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hint="eastAsia" w:ascii="宋体" w:hAnsi="宋体" w:eastAsia="宋体" w:cs="宋体"/>
                <w:sz w:val="20"/>
              </w:rPr>
            </w:pPr>
            <w:r>
              <w:rPr>
                <w:rFonts w:hint="eastAsia" w:ascii="宋体" w:hAnsi="宋体" w:eastAsia="宋体" w:cs="宋体"/>
                <w:color w:val="000000"/>
                <w:kern w:val="0"/>
                <w:sz w:val="20"/>
                <w:szCs w:val="20"/>
              </w:rPr>
              <w:t>…</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759" w:type="dxa"/>
            <w:gridSpan w:val="2"/>
            <w:vMerge w:val="restart"/>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sz w:val="20"/>
                <w:lang w:eastAsia="zh-CN"/>
              </w:rPr>
            </w:pPr>
            <w:r>
              <w:rPr>
                <w:rFonts w:hint="eastAsia" w:ascii="宋体" w:hAnsi="宋体" w:eastAsia="宋体" w:cs="宋体"/>
                <w:color w:val="000000"/>
                <w:kern w:val="0"/>
                <w:sz w:val="20"/>
                <w:szCs w:val="20"/>
                <w:lang w:eastAsia="zh-CN"/>
              </w:rPr>
              <w:t>康复对象满意度</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hint="eastAsia" w:ascii="宋体" w:hAnsi="宋体" w:eastAsia="宋体" w:cs="宋体"/>
                <w:sz w:val="20"/>
              </w:rPr>
            </w:pPr>
          </w:p>
        </w:tc>
        <w:tc>
          <w:tcPr>
            <w:tcW w:w="759" w:type="dxa"/>
            <w:gridSpan w:val="2"/>
            <w:vMerge w:val="continue"/>
            <w:tcBorders>
              <w:tl2br w:val="nil"/>
              <w:tr2bl w:val="nil"/>
            </w:tcBorders>
            <w:vAlign w:val="center"/>
          </w:tcPr>
          <w:p>
            <w:pPr>
              <w:jc w:val="center"/>
              <w:rPr>
                <w:rFonts w:hint="eastAsia" w:ascii="宋体" w:hAnsi="宋体" w:eastAsia="宋体" w:cs="宋体"/>
                <w:sz w:val="20"/>
              </w:rPr>
            </w:pP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bl>
    <w:p>
      <w:pPr>
        <w:ind w:firstLine="420" w:firstLineChars="200"/>
        <w:rPr>
          <w:rFonts w:hint="eastAsia"/>
        </w:rPr>
      </w:pPr>
    </w:p>
    <w:p>
      <w:pPr>
        <w:ind w:firstLine="420" w:firstLineChars="200"/>
        <w:rPr>
          <w:rFonts w:hint="eastAsia"/>
        </w:rPr>
      </w:pP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为非参照公务员法管理的事业单位，按照部门预算机关运行经费口径，2023年无机关运行经费财政拨款预算。</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2023年政府采购预算</w:t>
      </w:r>
      <w:r>
        <w:rPr>
          <w:rFonts w:hint="eastAsia" w:ascii="TimesNewRoman" w:hAnsi="TimesNewRoman" w:eastAsia="仿宋_GB2312" w:cs="TimesNewRoman"/>
          <w:kern w:val="0"/>
          <w:sz w:val="32"/>
          <w:szCs w:val="32"/>
          <w:lang w:val="en-US" w:eastAsia="zh-CN"/>
        </w:rPr>
        <w:t>14.8</w:t>
      </w:r>
      <w:r>
        <w:rPr>
          <w:rFonts w:hint="eastAsia" w:ascii="TimesNewRoman" w:hAnsi="TimesNewRoman" w:eastAsia="仿宋_GB2312" w:cs="TimesNewRoman"/>
          <w:kern w:val="0"/>
          <w:sz w:val="32"/>
          <w:szCs w:val="32"/>
        </w:rPr>
        <w:t>万元。其中：政府采购货物预算</w:t>
      </w:r>
      <w:r>
        <w:rPr>
          <w:rFonts w:hint="eastAsia" w:ascii="TimesNewRoman" w:hAnsi="TimesNewRoman" w:eastAsia="仿宋_GB2312" w:cs="TimesNewRoman"/>
          <w:kern w:val="0"/>
          <w:sz w:val="32"/>
          <w:szCs w:val="32"/>
          <w:lang w:val="en-US" w:eastAsia="zh-CN"/>
        </w:rPr>
        <w:t>14.8</w:t>
      </w:r>
      <w:r>
        <w:rPr>
          <w:rFonts w:hint="eastAsia" w:ascii="TimesNewRoman" w:hAnsi="TimesNewRoman" w:eastAsia="仿宋_GB2312" w:cs="TimesNewRoman"/>
          <w:kern w:val="0"/>
          <w:sz w:val="32"/>
          <w:szCs w:val="32"/>
        </w:rPr>
        <w:t>万元，政府采购工程预算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万元，政府采购服务预算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截至2022年12月31日，淮北市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共有车辆</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台（套），单价100万元以上的专用设备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w:t>
      </w:r>
      <w:r>
        <w:rPr>
          <w:rFonts w:hint="eastAsia" w:ascii="TimesNewRoman" w:hAnsi="TimesNewRoman" w:eastAsia="仿宋_GB2312" w:cs="TimesNewRoman"/>
          <w:kern w:val="0"/>
          <w:sz w:val="32"/>
          <w:szCs w:val="32"/>
          <w:lang w:eastAsia="zh-CN"/>
        </w:rPr>
        <w:t>单位</w:t>
      </w:r>
      <w:r>
        <w:rPr>
          <w:rFonts w:hint="eastAsia" w:ascii="TimesNewRoman" w:hAnsi="TimesNewRoman" w:eastAsia="仿宋_GB2312" w:cs="TimesNewRoman"/>
          <w:kern w:val="0"/>
          <w:sz w:val="32"/>
          <w:szCs w:val="32"/>
        </w:rPr>
        <w:t>预算安排购置公务用车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万元；安排购置单价100万元以上专用设备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个项目实行了绩效目标管理，涉及一般公共预算当年财政拨款</w:t>
      </w:r>
      <w:r>
        <w:rPr>
          <w:rFonts w:hint="eastAsia" w:ascii="TimesNewRoman" w:hAnsi="TimesNewRoman" w:eastAsia="仿宋_GB2312" w:cs="TimesNewRoman"/>
          <w:kern w:val="0"/>
          <w:sz w:val="32"/>
          <w:szCs w:val="32"/>
          <w:lang w:val="en-US" w:eastAsia="zh-CN"/>
        </w:rPr>
        <w:t>85.8</w:t>
      </w:r>
      <w:r>
        <w:rPr>
          <w:rFonts w:hint="eastAsia" w:ascii="TimesNewRoman" w:hAnsi="TimesNewRoman" w:eastAsia="仿宋_GB2312" w:cs="TimesNewRoman"/>
          <w:kern w:val="0"/>
          <w:sz w:val="32"/>
          <w:szCs w:val="32"/>
        </w:rPr>
        <w:t>万元、政府性基金预算当年财政拨款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万元、财政专户管理资金当年安排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bookmarkStart w:id="0" w:name="_GoBack"/>
      <w:bookmarkEnd w:id="0"/>
    </w:p>
    <w:p/>
    <w:p>
      <w:pPr>
        <w:pStyle w:val="3"/>
        <w:adjustRightInd w:val="0"/>
        <w:snapToGrid w:val="0"/>
        <w:spacing w:line="560" w:lineRule="exact"/>
        <w:jc w:val="center"/>
        <w:rPr>
          <w:rFonts w:hint="eastAsia" w:ascii="TimesNewRoman" w:hAnsi="TimesNewRoman" w:eastAsia="黑体" w:cs="TimesNewRoman"/>
          <w:bCs/>
          <w:sz w:val="36"/>
          <w:szCs w:val="36"/>
        </w:rPr>
      </w:pP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Segoe Print"/>
    <w:panose1 w:val="00000000000000000000"/>
    <w:charset w:val="00"/>
    <w:family w:val="auto"/>
    <w:pitch w:val="default"/>
    <w:sig w:usb0="00000000" w:usb1="00000000" w:usb2="00000029" w:usb3="00000000" w:csb0="600001FF" w:csb1="FFFF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中秀体简">
    <w:altName w:val="hakuyoxingshu7000"/>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hakuyoxingshu7000">
    <w:panose1 w:val="02000600000000000000"/>
    <w:charset w:val="86"/>
    <w:family w:val="auto"/>
    <w:pitch w:val="default"/>
    <w:sig w:usb0="FFFFFFFF" w:usb1="E9FFFFFF" w:usb2="0000003F" w:usb3="00000000" w:csb0="603F00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RlNDM0MzU1YjBjMmMyOTZlNWY4YzYxMGFiN2RhODYifQ=="/>
  </w:docVars>
  <w:rsids>
    <w:rsidRoot w:val="00E907C4"/>
    <w:rsid w:val="0057562B"/>
    <w:rsid w:val="006546AF"/>
    <w:rsid w:val="008F6D1A"/>
    <w:rsid w:val="009A3CA3"/>
    <w:rsid w:val="00AE3242"/>
    <w:rsid w:val="00E907C4"/>
    <w:rsid w:val="00EC7755"/>
    <w:rsid w:val="0C4F70F9"/>
    <w:rsid w:val="263A666F"/>
    <w:rsid w:val="27C70A4A"/>
    <w:rsid w:val="30FC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5055</Words>
  <Characters>5663</Characters>
  <Lines>46</Lines>
  <Paragraphs>13</Paragraphs>
  <TotalTime>2</TotalTime>
  <ScaleCrop>false</ScaleCrop>
  <LinksUpToDate>false</LinksUpToDate>
  <CharactersWithSpaces>5774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Administrator</cp:lastModifiedBy>
  <dcterms:modified xsi:type="dcterms:W3CDTF">2023-02-23T01:28:45Z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0BD4FDC6954848F294652D487156312A</vt:lpwstr>
  </property>
</Properties>
</file>