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残疾人联合会本级</w:t>
      </w:r>
      <w:r>
        <w:rPr>
          <w:rFonts w:hint="eastAsia" w:ascii="TimesNewRoman" w:hAnsi="TimesNewRoman" w:eastAsia="华文中宋" w:cs="TimesNewRoman"/>
          <w:b/>
          <w:sz w:val="44"/>
          <w:szCs w:val="44"/>
        </w:rPr>
        <w:t>2023年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2023年单位预算表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2023年收入总表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2023年支出总表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2023年财政拨款收支总表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2023年一般公共预算支出表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2023年一般公共预算基本支出表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2023年政府性基金预算支出表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2023年国有资本经营预算支出表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2023年项目支出表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2023年政府采购支出表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2023年政府购买服务支出表</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2023年单位预算情况说明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残疾人联合会本级</w:t>
      </w:r>
      <w:r>
        <w:rPr>
          <w:rFonts w:hint="eastAsia" w:ascii="TimesNewRoman" w:hAnsi="TimesNewRoman" w:eastAsia="仿宋_GB2312" w:cs="TimesNewRoman"/>
          <w:bCs/>
          <w:sz w:val="32"/>
          <w:szCs w:val="32"/>
        </w:rPr>
        <w:t>2023年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3"/>
        <w:adjustRightInd w:val="0"/>
        <w:snapToGrid w:val="0"/>
        <w:spacing w:line="400" w:lineRule="exact"/>
        <w:ind w:firstLine="800" w:firstLineChars="250"/>
        <w:rPr>
          <w:rFonts w:ascii="TimesNewRoman" w:hAnsi="TimesNewRoman" w:eastAsia="仿宋_GB2312" w:cs="TimesNewRoman"/>
          <w:bCs/>
          <w:sz w:val="32"/>
          <w:szCs w:val="32"/>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bookmarkStart w:id="0" w:name="_GoBack"/>
      <w:bookmarkEnd w:id="0"/>
      <w:r>
        <w:rPr>
          <w:rFonts w:hint="eastAsia" w:ascii="TimesNewRoman" w:hAnsi="TimesNewRoman" w:eastAsia="黑体" w:cs="TimesNewRoman"/>
          <w:bCs/>
          <w:sz w:val="36"/>
          <w:szCs w:val="36"/>
        </w:rPr>
        <w:t>第一部分 单位概况</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3"/>
        <w:numPr>
          <w:ilvl w:val="0"/>
          <w:numId w:val="0"/>
        </w:numPr>
        <w:adjustRightInd w:val="0"/>
        <w:snapToGrid w:val="0"/>
        <w:spacing w:before="0" w:beforeAutospacing="0" w:after="0" w:afterAutospacing="0" w:line="360" w:lineRule="auto"/>
        <w:ind w:firstLine="640" w:firstLineChars="200"/>
        <w:jc w:val="both"/>
      </w:pPr>
      <w:r>
        <w:rPr>
          <w:rFonts w:hint="eastAsia" w:ascii="仿宋_GB2312" w:eastAsia="仿宋_GB2312"/>
          <w:sz w:val="32"/>
          <w:szCs w:val="32"/>
        </w:rPr>
        <w:t>听取残疾人意见，反映残疾人需求，维护残疾人权益，为残疾人服务。</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团结、教育广大残疾人遵守法律，履行应尽的义务，发扬乐观进取精神，自尊、自信、自强、自立，为社会主义建设贡献力量。</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弘扬人道主义，宣传残疾人事业，沟通政府、社会与残疾人之间的联系，动员全社会理解、尊重、关心、帮助残疾人。</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开展残疾人康复、教育、劳动就业、扶贫、文化、体育、科研、用品供应、福利、社会服务、无障碍设施和残疾预防等工作，创建良好的环境和条件，扶助残疾人平等参与社会生活。</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协助市政府研究、制定和实施残疾人事业的法规、政策和规划、计划，对涉及残疾人的有关业务领域进行指导或管理。</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指导基层残疾人联合会工作。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承担市人民政府残疾人工作委员会的日常工作，做好综合、组织、协调和服务。</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负责对各类残疾人社会团体组织进行监督管理。</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开展残疾人事业的对外交流与合作。</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承担市政府交办的其他工作。</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tbl>
      <w:tblPr>
        <w:tblStyle w:val="4"/>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残疾人联合会</w:t>
            </w:r>
            <w:r>
              <w:rPr>
                <w:rFonts w:ascii="TimesNewRoman" w:hAnsi="TimesNewRoman" w:cs="TimesNewRoman"/>
                <w:bCs/>
                <w:sz w:val="24"/>
              </w:rPr>
              <w:t>本级</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参照公务员法管理的事业单位</w:t>
            </w:r>
          </w:p>
        </w:tc>
      </w:tr>
    </w:tbl>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202</w:t>
      </w:r>
      <w:r>
        <w:rPr>
          <w:rFonts w:hint="eastAsia" w:eastAsia="仿宋_GB2312"/>
          <w:color w:val="auto"/>
          <w:sz w:val="32"/>
          <w:szCs w:val="32"/>
          <w:highlight w:val="none"/>
          <w:lang w:val="en-US" w:eastAsia="zh-CN"/>
        </w:rPr>
        <w:t>3</w:t>
      </w:r>
      <w:r>
        <w:rPr>
          <w:rFonts w:eastAsia="仿宋_GB2312"/>
          <w:color w:val="auto"/>
          <w:sz w:val="32"/>
          <w:szCs w:val="32"/>
          <w:highlight w:val="none"/>
        </w:rPr>
        <w:t>年，我市残疾人工作将以习近平新时代中国特色社会主义思想为指导，深入学习贯彻党的</w:t>
      </w:r>
      <w:r>
        <w:rPr>
          <w:rFonts w:hint="eastAsia" w:eastAsia="仿宋_GB2312"/>
          <w:color w:val="auto"/>
          <w:sz w:val="32"/>
          <w:szCs w:val="32"/>
          <w:highlight w:val="none"/>
          <w:lang w:eastAsia="zh-CN"/>
        </w:rPr>
        <w:t>二十大</w:t>
      </w:r>
      <w:r>
        <w:rPr>
          <w:rFonts w:eastAsia="仿宋_GB2312"/>
          <w:color w:val="auto"/>
          <w:sz w:val="32"/>
          <w:szCs w:val="32"/>
          <w:highlight w:val="none"/>
        </w:rPr>
        <w:t>精神，紧紧围绕“五个淮北建设”工作大局，持续加强残联机关自身建设，提高干部队伍工作能力，完善制度保障，强化政策落实，加大宣传力度，传播弘扬扶残助残正能量，全面推动残疾人事业高质量发展。</w:t>
      </w:r>
    </w:p>
    <w:p>
      <w:pPr>
        <w:pStyle w:val="3"/>
        <w:widowControl/>
        <w:ind w:firstLine="643" w:firstLineChars="200"/>
        <w:rPr>
          <w:rFonts w:ascii="Times New Roman" w:hAnsi="Times New Roman" w:eastAsia="楷体"/>
          <w:b/>
          <w:bCs/>
          <w:color w:val="auto"/>
          <w:sz w:val="32"/>
          <w:szCs w:val="32"/>
          <w:highlight w:val="none"/>
        </w:rPr>
      </w:pPr>
      <w:r>
        <w:rPr>
          <w:rFonts w:ascii="Times New Roman" w:hAnsi="Times New Roman" w:eastAsia="楷体"/>
          <w:b/>
          <w:bCs/>
          <w:color w:val="auto"/>
          <w:sz w:val="32"/>
          <w:szCs w:val="32"/>
          <w:highlight w:val="none"/>
        </w:rPr>
        <w:t>（一）</w:t>
      </w:r>
      <w:r>
        <w:rPr>
          <w:rFonts w:hint="eastAsia" w:ascii="Times New Roman" w:hAnsi="Times New Roman" w:eastAsia="楷体"/>
          <w:b/>
          <w:bCs/>
          <w:color w:val="auto"/>
          <w:sz w:val="32"/>
          <w:szCs w:val="32"/>
          <w:highlight w:val="none"/>
        </w:rPr>
        <w:t>深入学习宣传党的二十大精神，让残疾人同心同向跟党走</w:t>
      </w:r>
      <w:r>
        <w:rPr>
          <w:rFonts w:hint="eastAsia" w:ascii="Times New Roman" w:hAnsi="Times New Roman" w:eastAsia="仿宋_GB2312"/>
          <w:color w:val="auto"/>
          <w:kern w:val="2"/>
          <w:sz w:val="32"/>
          <w:szCs w:val="32"/>
          <w:highlight w:val="none"/>
        </w:rPr>
        <w:t>。党的二十大提出了“完善残疾人社会保障制度和关爱服务体系，促进残疾人事业全面发展”的明确要求，为我们加快发展残疾人事业指明了方向，提供了遵循。我们要以学习贯彻落实党的二十大精神为主线，扎实推动残疾人事业高质量发展。激励广大残疾人朋友发扬自强不息精神，以直面磨难的勇气、持之以恒的毅力、奋发向上的作为，与生命抗争，做生活的强者，努力创造幸福生活。</w:t>
      </w:r>
    </w:p>
    <w:p>
      <w:pPr>
        <w:spacing w:line="58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
          <w:b/>
          <w:bCs/>
          <w:color w:val="auto"/>
          <w:sz w:val="32"/>
          <w:szCs w:val="32"/>
          <w:highlight w:val="none"/>
        </w:rPr>
        <w:t>（</w:t>
      </w:r>
      <w:r>
        <w:rPr>
          <w:rFonts w:hint="eastAsia" w:ascii="Times New Roman" w:hAnsi="Times New Roman" w:eastAsia="楷体"/>
          <w:b/>
          <w:bCs/>
          <w:color w:val="auto"/>
          <w:sz w:val="32"/>
          <w:szCs w:val="32"/>
          <w:highlight w:val="none"/>
        </w:rPr>
        <w:t>二</w:t>
      </w:r>
      <w:r>
        <w:rPr>
          <w:rFonts w:ascii="Times New Roman" w:hAnsi="Times New Roman" w:eastAsia="楷体"/>
          <w:b/>
          <w:bCs/>
          <w:color w:val="auto"/>
          <w:sz w:val="32"/>
          <w:szCs w:val="32"/>
          <w:highlight w:val="none"/>
        </w:rPr>
        <w:t>）持续完善残疾人兜底政策，让残疾人生存更有保障。</w:t>
      </w:r>
      <w:r>
        <w:rPr>
          <w:rFonts w:ascii="Times New Roman" w:hAnsi="Times New Roman" w:eastAsia="仿宋_GB2312"/>
          <w:color w:val="auto"/>
          <w:sz w:val="32"/>
          <w:szCs w:val="32"/>
          <w:highlight w:val="none"/>
        </w:rPr>
        <w:t>实行残疾人惠残政策标准动态调整机制，将更多低收入残疾人纳入政策保障。提高残疾人社会保险覆盖范围和待遇水平。争取残疾人信息消费优惠补贴早日出台。加强重大疫情、自然灾害、安全事故等突发公共事件中对残疾人的保护力度。</w:t>
      </w:r>
    </w:p>
    <w:p>
      <w:pPr>
        <w:spacing w:line="58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
          <w:b/>
          <w:bCs/>
          <w:color w:val="auto"/>
          <w:sz w:val="32"/>
          <w:szCs w:val="32"/>
          <w:highlight w:val="none"/>
        </w:rPr>
        <w:t>（</w:t>
      </w:r>
      <w:r>
        <w:rPr>
          <w:rFonts w:hint="eastAsia" w:ascii="Times New Roman" w:hAnsi="Times New Roman" w:eastAsia="楷体"/>
          <w:b/>
          <w:bCs/>
          <w:color w:val="auto"/>
          <w:sz w:val="32"/>
          <w:szCs w:val="32"/>
          <w:highlight w:val="none"/>
        </w:rPr>
        <w:t>三</w:t>
      </w:r>
      <w:r>
        <w:rPr>
          <w:rFonts w:ascii="Times New Roman" w:hAnsi="Times New Roman" w:eastAsia="楷体"/>
          <w:b/>
          <w:bCs/>
          <w:color w:val="auto"/>
          <w:sz w:val="32"/>
          <w:szCs w:val="32"/>
          <w:highlight w:val="none"/>
        </w:rPr>
        <w:t>）持续促进残疾人就业创业，让残疾人生活更有尊严</w:t>
      </w:r>
      <w:r>
        <w:rPr>
          <w:rFonts w:ascii="Times New Roman" w:hAnsi="Times New Roman" w:eastAsia="仿宋_GB2312"/>
          <w:b/>
          <w:bCs/>
          <w:color w:val="auto"/>
          <w:sz w:val="32"/>
          <w:szCs w:val="32"/>
          <w:highlight w:val="none"/>
        </w:rPr>
        <w:t>。</w:t>
      </w:r>
      <w:r>
        <w:rPr>
          <w:rFonts w:ascii="Times New Roman" w:hAnsi="Times New Roman" w:eastAsia="仿宋_GB2312"/>
          <w:color w:val="auto"/>
          <w:sz w:val="32"/>
          <w:szCs w:val="32"/>
          <w:highlight w:val="none"/>
          <w:shd w:val="clear" w:color="auto" w:fill="FFFFFF"/>
        </w:rPr>
        <w:t>加强与用工单位对接力度，</w:t>
      </w:r>
      <w:r>
        <w:rPr>
          <w:rFonts w:ascii="Times New Roman" w:hAnsi="Times New Roman" w:eastAsia="仿宋_GB2312"/>
          <w:color w:val="auto"/>
          <w:sz w:val="32"/>
          <w:szCs w:val="32"/>
          <w:highlight w:val="none"/>
        </w:rPr>
        <w:t>推动订单式培训。扶持残疾人自主创业，扶助阳光大棚等设施农业项目，不断提升残疾人就业率。</w:t>
      </w:r>
      <w:r>
        <w:rPr>
          <w:rFonts w:ascii="Times New Roman" w:hAnsi="Times New Roman" w:eastAsia="仿宋_GB2312"/>
          <w:color w:val="auto"/>
          <w:sz w:val="32"/>
          <w:szCs w:val="32"/>
          <w:highlight w:val="none"/>
          <w:shd w:val="clear" w:color="auto" w:fill="FFFFFF"/>
        </w:rPr>
        <w:t>选树残疾人就业创业先进典型并加大宣传力度，传播自强自信自立正能量，</w:t>
      </w:r>
      <w:r>
        <w:rPr>
          <w:rFonts w:ascii="Times New Roman" w:hAnsi="Times New Roman" w:eastAsia="仿宋_GB2312"/>
          <w:color w:val="auto"/>
          <w:sz w:val="32"/>
          <w:szCs w:val="32"/>
          <w:highlight w:val="none"/>
        </w:rPr>
        <w:t>提升残疾人就业意愿。</w:t>
      </w:r>
    </w:p>
    <w:p>
      <w:pPr>
        <w:pStyle w:val="2"/>
        <w:spacing w:after="0" w:line="580" w:lineRule="exact"/>
        <w:ind w:left="0" w:leftChars="0" w:firstLine="643" w:firstLineChars="200"/>
        <w:rPr>
          <w:rFonts w:hint="eastAsia" w:ascii="Times New Roman" w:hAnsi="Times New Roman" w:eastAsia="仿宋_GB2312"/>
          <w:color w:val="auto"/>
          <w:sz w:val="32"/>
          <w:szCs w:val="32"/>
          <w:highlight w:val="none"/>
          <w:shd w:val="clear" w:color="auto" w:fill="FFFFFF"/>
        </w:rPr>
      </w:pPr>
      <w:r>
        <w:rPr>
          <w:rFonts w:ascii="Times New Roman" w:hAnsi="Times New Roman" w:eastAsia="楷体"/>
          <w:b/>
          <w:bCs/>
          <w:color w:val="auto"/>
          <w:sz w:val="32"/>
          <w:szCs w:val="32"/>
          <w:highlight w:val="none"/>
          <w:shd w:val="clear" w:color="auto" w:fill="FFFFFF"/>
        </w:rPr>
        <w:t>（</w:t>
      </w:r>
      <w:r>
        <w:rPr>
          <w:rFonts w:hint="eastAsia" w:ascii="Times New Roman" w:hAnsi="Times New Roman" w:eastAsia="楷体"/>
          <w:b/>
          <w:bCs/>
          <w:color w:val="auto"/>
          <w:sz w:val="32"/>
          <w:szCs w:val="32"/>
          <w:highlight w:val="none"/>
          <w:shd w:val="clear" w:color="auto" w:fill="FFFFFF"/>
        </w:rPr>
        <w:t>四</w:t>
      </w:r>
      <w:r>
        <w:rPr>
          <w:rFonts w:ascii="Times New Roman" w:hAnsi="Times New Roman" w:eastAsia="楷体"/>
          <w:b/>
          <w:bCs/>
          <w:color w:val="auto"/>
          <w:sz w:val="32"/>
          <w:szCs w:val="32"/>
          <w:highlight w:val="none"/>
          <w:shd w:val="clear" w:color="auto" w:fill="FFFFFF"/>
        </w:rPr>
        <w:t>）持续健全残疾人服务体系，让残疾人获得更加充分。</w:t>
      </w:r>
      <w:r>
        <w:rPr>
          <w:rFonts w:ascii="Times New Roman" w:hAnsi="Times New Roman" w:eastAsia="仿宋_GB2312"/>
          <w:color w:val="auto"/>
          <w:sz w:val="32"/>
          <w:szCs w:val="32"/>
          <w:highlight w:val="none"/>
        </w:rPr>
        <w:t>加强残疾预防，提升康复服务质量，</w:t>
      </w:r>
      <w:r>
        <w:rPr>
          <w:rFonts w:ascii="Times New Roman" w:hAnsi="Times New Roman" w:eastAsia="仿宋_GB2312"/>
          <w:color w:val="auto"/>
          <w:sz w:val="32"/>
          <w:szCs w:val="32"/>
          <w:highlight w:val="none"/>
          <w:shd w:val="clear" w:color="auto" w:fill="FFFFFF"/>
        </w:rPr>
        <w:t>继续实施残疾人康复民生工程和残疾人精准康复服务行动。</w:t>
      </w:r>
      <w:r>
        <w:rPr>
          <w:rFonts w:ascii="Times New Roman" w:hAnsi="Times New Roman" w:eastAsia="仿宋_GB2312"/>
          <w:color w:val="auto"/>
          <w:sz w:val="32"/>
          <w:szCs w:val="32"/>
          <w:highlight w:val="none"/>
        </w:rPr>
        <w:t>做好残疾学生和残疾人子女就学资助工作。</w:t>
      </w:r>
      <w:r>
        <w:rPr>
          <w:rFonts w:ascii="Times New Roman" w:hAnsi="Times New Roman" w:eastAsia="仿宋_GB2312"/>
          <w:color w:val="auto"/>
          <w:sz w:val="32"/>
          <w:szCs w:val="32"/>
          <w:highlight w:val="none"/>
          <w:shd w:val="clear" w:color="auto" w:fill="FFFFFF"/>
        </w:rPr>
        <w:t>提升残疾人公共文化艺术体育服务，丰富残疾人精神文化生活</w:t>
      </w:r>
      <w:r>
        <w:rPr>
          <w:rFonts w:hint="eastAsia" w:ascii="Times New Roman" w:hAnsi="Times New Roman" w:eastAsia="仿宋_GB2312"/>
          <w:color w:val="auto"/>
          <w:sz w:val="32"/>
          <w:szCs w:val="32"/>
          <w:highlight w:val="none"/>
          <w:shd w:val="clear" w:color="auto" w:fill="FFFFFF"/>
        </w:rPr>
        <w:t>。</w:t>
      </w:r>
    </w:p>
    <w:p>
      <w:pPr>
        <w:ind w:firstLine="643" w:firstLineChars="200"/>
      </w:pPr>
      <w:r>
        <w:rPr>
          <w:rFonts w:ascii="Times New Roman" w:hAnsi="Times New Roman" w:eastAsia="楷体"/>
          <w:b/>
          <w:bCs/>
          <w:color w:val="auto"/>
          <w:sz w:val="32"/>
          <w:szCs w:val="32"/>
          <w:highlight w:val="none"/>
          <w:shd w:val="clear" w:color="auto" w:fill="FFFFFF"/>
        </w:rPr>
        <w:t>（</w:t>
      </w:r>
      <w:r>
        <w:rPr>
          <w:rFonts w:hint="eastAsia" w:ascii="Times New Roman" w:hAnsi="Times New Roman" w:eastAsia="楷体"/>
          <w:b/>
          <w:bCs/>
          <w:color w:val="auto"/>
          <w:sz w:val="32"/>
          <w:szCs w:val="32"/>
          <w:highlight w:val="none"/>
          <w:shd w:val="clear" w:color="auto" w:fill="FFFFFF"/>
        </w:rPr>
        <w:t>五</w:t>
      </w:r>
      <w:r>
        <w:rPr>
          <w:rFonts w:ascii="Times New Roman" w:hAnsi="Times New Roman" w:eastAsia="楷体"/>
          <w:b/>
          <w:bCs/>
          <w:color w:val="auto"/>
          <w:sz w:val="32"/>
          <w:szCs w:val="32"/>
          <w:highlight w:val="none"/>
          <w:shd w:val="clear" w:color="auto" w:fill="FFFFFF"/>
        </w:rPr>
        <w:t>）持续保障残疾人平等权利，让残疾人发展更加均衡。</w:t>
      </w:r>
      <w:r>
        <w:rPr>
          <w:rFonts w:hint="eastAsia" w:ascii="Times New Roman" w:hAnsi="Times New Roman" w:eastAsia="仿宋_GB2312"/>
          <w:color w:val="auto"/>
          <w:sz w:val="32"/>
          <w:szCs w:val="32"/>
          <w:highlight w:val="none"/>
          <w:shd w:val="clear" w:color="auto" w:fill="FFFFFF"/>
        </w:rPr>
        <w:t>采取切实措施，</w:t>
      </w:r>
      <w:r>
        <w:rPr>
          <w:rFonts w:hint="eastAsia" w:eastAsia="仿宋_GB2312"/>
          <w:color w:val="auto"/>
          <w:sz w:val="32"/>
          <w:szCs w:val="32"/>
          <w:highlight w:val="none"/>
          <w:shd w:val="clear" w:color="auto" w:fill="FFFFFF"/>
          <w:lang w:eastAsia="zh-CN"/>
        </w:rPr>
        <w:t>重度困难残疾人家庭无障碍改造早启动、早谋划、早实施、早见效，着力提升残疾人家庭无障碍改造水平。</w:t>
      </w:r>
      <w:r>
        <w:rPr>
          <w:rFonts w:ascii="Times New Roman" w:hAnsi="Times New Roman" w:eastAsia="仿宋_GB2312"/>
          <w:color w:val="auto"/>
          <w:sz w:val="32"/>
          <w:szCs w:val="32"/>
          <w:highlight w:val="none"/>
          <w:shd w:val="clear" w:color="auto" w:fill="FFFFFF"/>
        </w:rPr>
        <w:t>深入推动《安徽省无障碍环境建设管理办法》实施，加大盲道占用检查力度</w:t>
      </w:r>
      <w:r>
        <w:rPr>
          <w:rFonts w:hint="eastAsia" w:ascii="Times New Roman" w:hAnsi="Times New Roman" w:eastAsia="仿宋_GB2312"/>
          <w:color w:val="auto"/>
          <w:sz w:val="32"/>
          <w:szCs w:val="32"/>
          <w:highlight w:val="none"/>
          <w:shd w:val="clear" w:color="auto" w:fill="FFFFFF"/>
        </w:rPr>
        <w:t>。着力</w:t>
      </w:r>
      <w:r>
        <w:rPr>
          <w:rFonts w:ascii="Times New Roman" w:hAnsi="Times New Roman" w:eastAsia="仿宋_GB2312"/>
          <w:color w:val="auto"/>
          <w:sz w:val="32"/>
          <w:szCs w:val="32"/>
          <w:highlight w:val="none"/>
          <w:shd w:val="clear" w:color="auto" w:fill="FFFFFF"/>
        </w:rPr>
        <w:t>推进</w:t>
      </w:r>
      <w:r>
        <w:rPr>
          <w:rFonts w:hint="eastAsia" w:ascii="Times New Roman" w:hAnsi="Times New Roman" w:eastAsia="仿宋_GB2312"/>
          <w:color w:val="auto"/>
          <w:sz w:val="32"/>
          <w:szCs w:val="32"/>
          <w:highlight w:val="none"/>
          <w:shd w:val="clear" w:color="auto" w:fill="FFFFFF"/>
        </w:rPr>
        <w:t>残疾人家庭</w:t>
      </w:r>
      <w:r>
        <w:rPr>
          <w:rFonts w:ascii="Times New Roman" w:hAnsi="Times New Roman" w:eastAsia="仿宋_GB2312"/>
          <w:color w:val="auto"/>
          <w:sz w:val="32"/>
          <w:szCs w:val="32"/>
          <w:highlight w:val="none"/>
          <w:shd w:val="clear" w:color="auto" w:fill="FFFFFF"/>
        </w:rPr>
        <w:t>无障碍</w:t>
      </w:r>
      <w:r>
        <w:rPr>
          <w:rFonts w:hint="eastAsia" w:ascii="Times New Roman" w:hAnsi="Times New Roman" w:eastAsia="仿宋_GB2312"/>
          <w:color w:val="auto"/>
          <w:sz w:val="32"/>
          <w:szCs w:val="32"/>
          <w:highlight w:val="none"/>
          <w:shd w:val="clear" w:color="auto" w:fill="FFFFFF"/>
        </w:rPr>
        <w:t>改造工</w:t>
      </w:r>
      <w:r>
        <w:rPr>
          <w:rFonts w:hint="eastAsia" w:eastAsia="仿宋_GB2312"/>
          <w:color w:val="auto"/>
          <w:sz w:val="32"/>
          <w:szCs w:val="32"/>
          <w:highlight w:val="none"/>
          <w:shd w:val="clear" w:color="auto" w:fill="FFFFFF"/>
          <w:lang w:eastAsia="zh-CN"/>
        </w:rPr>
        <w:t>作</w:t>
      </w:r>
      <w:r>
        <w:rPr>
          <w:rFonts w:ascii="Times New Roman" w:hAnsi="Times New Roman" w:eastAsia="仿宋_GB2312"/>
          <w:color w:val="auto"/>
          <w:sz w:val="32"/>
          <w:szCs w:val="32"/>
          <w:highlight w:val="none"/>
          <w:shd w:val="clear" w:color="auto" w:fill="FFFFFF"/>
        </w:rPr>
        <w:t>。</w:t>
      </w:r>
      <w:r>
        <w:rPr>
          <w:rFonts w:ascii="Times New Roman" w:hAnsi="Times New Roman" w:eastAsia="仿宋_GB2312"/>
          <w:color w:val="auto"/>
          <w:sz w:val="32"/>
          <w:szCs w:val="32"/>
          <w:highlight w:val="none"/>
        </w:rPr>
        <w:t>加强</w:t>
      </w:r>
      <w:r>
        <w:rPr>
          <w:rFonts w:ascii="Times New Roman" w:hAnsi="Times New Roman" w:eastAsia="仿宋_GB2312"/>
          <w:color w:val="auto"/>
          <w:sz w:val="32"/>
          <w:szCs w:val="32"/>
          <w:highlight w:val="none"/>
          <w:shd w:val="clear" w:color="auto" w:fill="FFFFFF"/>
        </w:rPr>
        <w:t>县级残疾人康复、托养设施及配建的综合服务设施建设，推动将县级残疾人服务设施建设纳入当地经济社会发展规划。完善残疾人法律救助工作协调机制，开展法律援助志愿助残行动</w:t>
      </w:r>
      <w:r>
        <w:rPr>
          <w:rFonts w:ascii="Times New Roman" w:hAnsi="Times New Roman" w:eastAsia="仿宋_GB2312"/>
          <w:color w:val="auto"/>
          <w:sz w:val="32"/>
          <w:szCs w:val="32"/>
          <w:highlight w:val="none"/>
        </w:rPr>
        <w:t>。</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2023年单位预算表</w:t>
      </w:r>
    </w:p>
    <w:p>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2023年单位预算情况说明</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残疾人联合会本级</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残疾人联合会本级</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1698.86</w:t>
      </w:r>
      <w:r>
        <w:rPr>
          <w:rFonts w:hint="eastAsia" w:ascii="TimesNewRoman" w:hAnsi="TimesNewRoman" w:eastAsia="仿宋_GB2312" w:cs="TimesNewRoman"/>
          <w:sz w:val="32"/>
          <w:szCs w:val="32"/>
        </w:rPr>
        <w:t>万元，收入包括一般公共预算拨款收入，支出包括：社会保障和就业支出、卫生健康支出、住房保障支出。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1698.86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284.4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284.4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209.33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12.32</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1489.53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87.68</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残疾人康复民生工程、残疾人教育、残疾人托养等</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1669.09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98.25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9.77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0.57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1698.86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284.4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20.1</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1669.09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98.25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9.77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0.57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行政单位离退休</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19.02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16.54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666.94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预算退休人员基础绩效奖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16.81</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5.74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51.85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8.41</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2.87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51.81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行政运行</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135.18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41.39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44.13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预算在职人员基础绩效奖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其他残疾人事业支出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1489.53</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221.53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0.15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预算工伤保险</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行政单位医疗</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6.32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3.45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、住房保障支出（类）住房改革支出（款）住房公积金（项）2023年预算</w:t>
      </w:r>
      <w:r>
        <w:rPr>
          <w:rFonts w:hint="eastAsia" w:ascii="TimesNewRoman" w:hAnsi="TimesNewRoman" w:eastAsia="仿宋_GB2312" w:cs="TimesNewRoman"/>
          <w:kern w:val="0"/>
          <w:sz w:val="32"/>
          <w:szCs w:val="32"/>
          <w:lang w:val="en-US" w:eastAsia="zh-CN"/>
        </w:rPr>
        <w:t>14.12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1.71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5.88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0.71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13.73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209.33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186.51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22.82</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186.51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医疗费、退休费、医疗费补助、对其他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22.82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主要包括：其他交通费用、其他商品服务支出等。</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2023年没有政府性基金预算拨款收入，也没有使用政府性基金预算拨款安排的支出。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1498.53</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221.53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1498.53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1498.53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2023年没有安排政府购买服务支出。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1、“残疾人康复民生工程”项目。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（1）项目概述。残疾儿童康复</w:t>
      </w:r>
      <w:r>
        <w:rPr>
          <w:rFonts w:hint="eastAsia" w:ascii="TimesNewRoman" w:hAnsi="TimesNewRoman" w:eastAsia="仿宋_GB2312" w:cs="TimesNewRoman"/>
          <w:kern w:val="0"/>
          <w:sz w:val="32"/>
          <w:szCs w:val="32"/>
          <w:lang w:eastAsia="zh-CN"/>
        </w:rPr>
        <w:t>和困难精神残疾人患者药费补助。</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国务院《关于建立残疾儿童康复救助制度的意见》（国发〔2018〕20号）、《关于建立残疾儿童康复救助制度的实施意见》（淮政〔2018〕56号）文件。</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（5）项目内容。残疾儿童康复</w:t>
      </w:r>
      <w:r>
        <w:rPr>
          <w:rFonts w:hint="eastAsia" w:ascii="TimesNewRoman" w:hAnsi="TimesNewRoman" w:eastAsia="仿宋_GB2312" w:cs="TimesNewRoman"/>
          <w:kern w:val="0"/>
          <w:sz w:val="32"/>
          <w:szCs w:val="32"/>
          <w:lang w:eastAsia="zh-CN"/>
        </w:rPr>
        <w:t>和困难精神残疾人患者药费补助。</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705.09万元。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残疾人康复民生工程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705.09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705.09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lang w:eastAsia="zh-CN"/>
              </w:rPr>
              <w:t>残疾儿童康复和困难精神残疾人患者药费补助。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残疾儿童康复人数</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eastAsia="zh-CN"/>
              </w:rPr>
            </w:pPr>
            <w:r>
              <w:rPr>
                <w:rFonts w:hint="eastAsia" w:ascii="Helvetica" w:hAnsi="Helvetica" w:eastAsia="Helvetica" w:cs="Helvetica"/>
                <w:i w:val="0"/>
                <w:iCs w:val="0"/>
                <w:caps w:val="0"/>
                <w:color w:val="auto"/>
                <w:spacing w:val="0"/>
                <w:sz w:val="19"/>
                <w:szCs w:val="19"/>
                <w:shd w:val="clear" w:color="auto" w:fill="auto"/>
              </w:rPr>
              <w:t>338</w:t>
            </w:r>
            <w:r>
              <w:rPr>
                <w:rFonts w:hint="eastAsia" w:ascii="Helvetica" w:hAnsi="Helvetica" w:eastAsia="宋体" w:cs="Helvetica"/>
                <w:i w:val="0"/>
                <w:iCs w:val="0"/>
                <w:caps w:val="0"/>
                <w:color w:val="auto"/>
                <w:spacing w:val="0"/>
                <w:sz w:val="19"/>
                <w:szCs w:val="19"/>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困难精神残疾人患者药费补助</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eastAsia="zh-CN"/>
              </w:rPr>
            </w:pPr>
            <w:r>
              <w:rPr>
                <w:rFonts w:hint="eastAsia" w:ascii="Helvetica" w:hAnsi="Helvetica" w:eastAsia="Helvetica" w:cs="Helvetica"/>
                <w:i w:val="0"/>
                <w:iCs w:val="0"/>
                <w:caps w:val="0"/>
                <w:color w:val="auto"/>
                <w:spacing w:val="0"/>
                <w:sz w:val="19"/>
                <w:szCs w:val="19"/>
                <w:shd w:val="clear" w:color="auto" w:fill="auto"/>
              </w:rPr>
              <w:t>2576</w:t>
            </w:r>
            <w:r>
              <w:rPr>
                <w:rFonts w:hint="eastAsia" w:ascii="Helvetica" w:hAnsi="Helvetica" w:eastAsia="宋体" w:cs="Helvetica"/>
                <w:i w:val="0"/>
                <w:iCs w:val="0"/>
                <w:caps w:val="0"/>
                <w:color w:val="auto"/>
                <w:spacing w:val="0"/>
                <w:sz w:val="19"/>
                <w:szCs w:val="19"/>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救助质量</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按照康复救助制度实施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康复训练</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最佳训练时间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救助标准</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val="en-US" w:eastAsia="zh-CN"/>
              </w:rPr>
            </w:pPr>
            <w:r>
              <w:rPr>
                <w:rFonts w:ascii="Helvetica" w:hAnsi="Helvetica" w:eastAsia="Helvetica" w:cs="Helvetica"/>
                <w:i w:val="0"/>
                <w:iCs w:val="0"/>
                <w:caps w:val="0"/>
                <w:color w:val="auto"/>
                <w:spacing w:val="0"/>
                <w:sz w:val="19"/>
                <w:szCs w:val="19"/>
                <w:shd w:val="clear" w:color="auto" w:fill="auto"/>
              </w:rPr>
              <w:t>15000</w:t>
            </w:r>
            <w:r>
              <w:rPr>
                <w:rFonts w:hint="eastAsia" w:ascii="Helvetica" w:hAnsi="Helvetica" w:eastAsia="宋体" w:cs="Helvetica"/>
                <w:i w:val="0"/>
                <w:iCs w:val="0"/>
                <w:caps w:val="0"/>
                <w:color w:val="auto"/>
                <w:spacing w:val="0"/>
                <w:sz w:val="19"/>
                <w:szCs w:val="19"/>
                <w:shd w:val="clear" w:color="auto" w:fill="auto"/>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补助标准</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eastAsia="zh-CN"/>
              </w:rPr>
            </w:pPr>
            <w:r>
              <w:rPr>
                <w:rFonts w:ascii="Helvetica" w:hAnsi="Helvetica" w:eastAsia="Helvetica" w:cs="Helvetica"/>
                <w:i w:val="0"/>
                <w:iCs w:val="0"/>
                <w:caps w:val="0"/>
                <w:color w:val="auto"/>
                <w:spacing w:val="0"/>
                <w:sz w:val="19"/>
                <w:szCs w:val="19"/>
                <w:shd w:val="clear" w:color="auto" w:fill="auto"/>
              </w:rPr>
              <w:t>1000</w:t>
            </w:r>
            <w:r>
              <w:rPr>
                <w:rFonts w:hint="eastAsia" w:ascii="Helvetica" w:hAnsi="Helvetica" w:eastAsia="宋体" w:cs="Helvetica"/>
                <w:i w:val="0"/>
                <w:iCs w:val="0"/>
                <w:caps w:val="0"/>
                <w:color w:val="auto"/>
                <w:spacing w:val="0"/>
                <w:sz w:val="19"/>
                <w:szCs w:val="19"/>
                <w:shd w:val="clear" w:color="auto" w:fill="auto"/>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color w:val="auto"/>
                <w:sz w:val="20"/>
                <w:shd w:val="clear" w:color="auto" w:fill="auto"/>
              </w:rPr>
            </w:pP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经济效益</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社会效益</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u w:val="none"/>
                <w:shd w:val="clear" w:color="auto" w:fill="auto"/>
              </w:rPr>
              <w:t>利于残疾儿童康复训练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生态效益</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auto"/>
                <w:kern w:val="0"/>
                <w:sz w:val="20"/>
                <w:szCs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auto"/>
                <w:kern w:val="0"/>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color w:val="auto"/>
                <w:sz w:val="20"/>
                <w:shd w:val="clear" w:color="auto" w:fill="auto"/>
              </w:rPr>
            </w:pPr>
            <w:r>
              <w:rPr>
                <w:rFonts w:hint="eastAsia" w:ascii="宋体" w:hAnsi="宋体" w:eastAsia="宋体" w:cs="宋体"/>
                <w:color w:val="auto"/>
                <w:sz w:val="20"/>
                <w:shd w:val="clear" w:color="auto" w:fill="auto"/>
              </w:rPr>
              <w:t>可持续影响</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改善残疾儿童生活质量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228" w:type="dxa"/>
            <w:gridSpan w:val="2"/>
            <w:tcBorders>
              <w:tl2br w:val="nil"/>
              <w:tr2bl w:val="nil"/>
            </w:tcBorders>
            <w:vAlign w:val="center"/>
          </w:tcPr>
          <w:p>
            <w:pPr>
              <w:jc w:val="center"/>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auto"/>
                <w:kern w:val="0"/>
                <w:sz w:val="20"/>
                <w:szCs w:val="20"/>
              </w:rPr>
            </w:pPr>
          </w:p>
        </w:tc>
        <w:tc>
          <w:tcPr>
            <w:tcW w:w="4228" w:type="dxa"/>
            <w:gridSpan w:val="2"/>
            <w:tcBorders>
              <w:tl2br w:val="nil"/>
              <w:tr2bl w:val="nil"/>
            </w:tcBorders>
            <w:vAlign w:val="center"/>
          </w:tcPr>
          <w:p>
            <w:pPr>
              <w:jc w:val="center"/>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color w:val="auto"/>
                <w:sz w:val="20"/>
              </w:rPr>
            </w:pPr>
            <w:r>
              <w:rPr>
                <w:rFonts w:ascii="Helvetica" w:hAnsi="Helvetica" w:eastAsia="Helvetica" w:cs="Helvetica"/>
                <w:i w:val="0"/>
                <w:iCs w:val="0"/>
                <w:caps w:val="0"/>
                <w:color w:val="auto"/>
                <w:spacing w:val="0"/>
                <w:sz w:val="19"/>
                <w:szCs w:val="19"/>
                <w:shd w:val="clear" w:fill="F2F2F2"/>
              </w:rPr>
              <w:t>康复满意度</w:t>
            </w:r>
          </w:p>
        </w:tc>
        <w:tc>
          <w:tcPr>
            <w:tcW w:w="4228" w:type="dxa"/>
            <w:gridSpan w:val="2"/>
            <w:tcBorders>
              <w:tl2br w:val="nil"/>
              <w:tr2bl w:val="nil"/>
            </w:tcBorders>
            <w:vAlign w:val="center"/>
          </w:tcPr>
          <w:p>
            <w:pPr>
              <w:jc w:val="center"/>
              <w:rPr>
                <w:rFonts w:hint="eastAsia" w:ascii="宋体" w:cs="宋体" w:eastAsiaTheme="minorEastAsia"/>
                <w:color w:val="auto"/>
                <w:sz w:val="20"/>
                <w:lang w:eastAsia="zh-CN"/>
              </w:rPr>
            </w:pPr>
            <w:r>
              <w:rPr>
                <w:rFonts w:hint="eastAsia" w:ascii="宋体" w:cs="宋体"/>
                <w:color w:val="auto"/>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szCs w:val="20"/>
              </w:rPr>
              <w:t>…</w:t>
            </w:r>
          </w:p>
        </w:tc>
        <w:tc>
          <w:tcPr>
            <w:tcW w:w="4228" w:type="dxa"/>
            <w:gridSpan w:val="2"/>
            <w:tcBorders>
              <w:tl2br w:val="nil"/>
              <w:tr2bl w:val="nil"/>
            </w:tcBorders>
            <w:vAlign w:val="center"/>
          </w:tcPr>
          <w:p>
            <w:pPr>
              <w:jc w:val="center"/>
              <w:rPr>
                <w:rFonts w:ascii="宋体" w:cs="宋体"/>
                <w:color w:val="auto"/>
                <w:sz w:val="20"/>
              </w:rPr>
            </w:pPr>
          </w:p>
        </w:tc>
      </w:tr>
    </w:tbl>
    <w:p>
      <w:pPr>
        <w:ind w:firstLine="420" w:firstLineChars="200"/>
        <w:rPr>
          <w:rFonts w:hint="eastAsia"/>
        </w:rPr>
      </w:pPr>
    </w:p>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残疾人托养</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（1）项目概述。为精神、智力、重度肢体的残疾人提供居家和集中制托养服务</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十三五残疾人托养工作实施方案》（皖残联〔2017〕13号）文件，按照每人每年不低于2400元的标准补助到承接机构中，通过政府采购等方式选定承接托养服务的机构。中残联《关于发展残疾人辅助性就业的意见》（残联发〔2015〕27号）；中国残疾人联合会关于印发《“十三五”残疾人托养服务工作计划》的通知残联发〔2016〕29号,针对不同托养方式，给予托养机构建设补贴、运营补贴、托养服务对象补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（5）项目内容。为精神、智力、重度肢体的残疾人提供居家和集中制托养服务</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237.13万元。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残疾人托养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237.13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237.13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为精神、智力、重度肢体的残疾人提供居家和集中制托养服务</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居家服务</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集中托养服务</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92人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托养项目</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精神、智力、重度肢体的残疾人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lang w:eastAsia="zh-CN"/>
              </w:rPr>
              <w:t>项目时效</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进度时限科学合理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居家服务按每人每年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集中托养服务按每人每月</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shd w:val="clear" w:color="auto" w:fill="auto"/>
              </w:rPr>
            </w:pP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经济效益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社会效益</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促进残疾人康复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生态效益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rPr>
            </w:pPr>
            <w:r>
              <w:rPr>
                <w:rFonts w:hint="eastAsia" w:ascii="宋体" w:hAnsi="宋体" w:eastAsia="宋体" w:cs="宋体"/>
                <w:sz w:val="20"/>
                <w:shd w:val="clear" w:color="auto" w:fill="auto"/>
              </w:rPr>
              <w:t>可持续影响</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促进残疾人事业发展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lang w:eastAsia="zh-CN"/>
              </w:rPr>
            </w:pPr>
            <w:r>
              <w:rPr>
                <w:rFonts w:ascii="Helvetica" w:hAnsi="Helvetica" w:eastAsia="Helvetica" w:cs="Helvetica"/>
                <w:i w:val="0"/>
                <w:iCs w:val="0"/>
                <w:caps w:val="0"/>
                <w:color w:val="333333"/>
                <w:spacing w:val="0"/>
                <w:sz w:val="19"/>
                <w:szCs w:val="19"/>
                <w:shd w:val="clear" w:color="auto" w:fill="auto"/>
              </w:rPr>
              <w:t>托养对象</w:t>
            </w:r>
            <w:r>
              <w:rPr>
                <w:rFonts w:hint="eastAsia" w:ascii="Helvetica" w:hAnsi="Helvetica" w:eastAsia="宋体" w:cs="Helvetica"/>
                <w:i w:val="0"/>
                <w:iCs w:val="0"/>
                <w:caps w:val="0"/>
                <w:color w:val="333333"/>
                <w:spacing w:val="0"/>
                <w:sz w:val="19"/>
                <w:szCs w:val="19"/>
                <w:shd w:val="clear" w:color="auto" w:fill="auto"/>
                <w:lang w:eastAsia="zh-CN"/>
              </w:rPr>
              <w:t>满意度</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残疾人教育</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残疾人教育资助。</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人民政府关于印发淮北市“十三五”加快残疾人小康进程规划纲要的通知》（淮政〔2017〕38号）文件，为落实好特殊教育提升计划，加大残疾学生就学支持力度，对符合资助政策的残疾学生和残疾人子女优先予以资助。</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残疾人教育资助。</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143.85万元。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残疾人教育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lang w:eastAsia="zh-CN"/>
              </w:rPr>
              <w:t>残疾人教育资助。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残疾儿童</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残疾学生残疾人子女</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2298人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残疾大学生研究生</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74人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shd w:val="clear" w:color="auto" w:fill="auto"/>
                <w:lang w:eastAsia="zh-CN"/>
              </w:rPr>
            </w:pPr>
            <w:r>
              <w:rPr>
                <w:rFonts w:hint="eastAsia" w:ascii="宋体" w:hAnsi="宋体" w:eastAsia="宋体" w:cs="宋体"/>
                <w:color w:val="000000"/>
                <w:kern w:val="0"/>
                <w:sz w:val="20"/>
                <w:szCs w:val="20"/>
                <w:shd w:val="clear" w:color="auto" w:fill="auto"/>
                <w:lang w:eastAsia="zh-CN"/>
              </w:rPr>
              <w:t>项目质量</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残疾人教育</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进度时限科学合理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学前教育每人每学年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义务教育阶段每人每学年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jc w:val="center"/>
              <w:textAlignment w:val="center"/>
              <w:rPr>
                <w:rFonts w:ascii="宋体" w:cs="宋体"/>
                <w:sz w:val="20"/>
              </w:rPr>
            </w:pPr>
          </w:p>
        </w:tc>
        <w:tc>
          <w:tcPr>
            <w:tcW w:w="2872" w:type="dxa"/>
            <w:tcBorders>
              <w:tl2br w:val="nil"/>
              <w:tr2bl w:val="nil"/>
            </w:tcBorders>
            <w:vAlign w:val="center"/>
          </w:tcPr>
          <w:p>
            <w:pPr>
              <w:jc w:val="left"/>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高中</w:t>
            </w:r>
            <w:r>
              <w:rPr>
                <w:rFonts w:hint="eastAsia" w:ascii="Helvetica" w:hAnsi="Helvetica" w:eastAsia="宋体" w:cs="Helvetica"/>
                <w:i w:val="0"/>
                <w:iCs w:val="0"/>
                <w:caps w:val="0"/>
                <w:color w:val="333333"/>
                <w:spacing w:val="0"/>
                <w:sz w:val="19"/>
                <w:szCs w:val="19"/>
                <w:shd w:val="clear" w:color="auto" w:fill="auto"/>
                <w:lang w:eastAsia="zh-CN"/>
              </w:rPr>
              <w:t>大学研究生</w:t>
            </w:r>
            <w:r>
              <w:rPr>
                <w:rFonts w:ascii="Helvetica" w:hAnsi="Helvetica" w:eastAsia="Helvetica" w:cs="Helvetica"/>
                <w:i w:val="0"/>
                <w:iCs w:val="0"/>
                <w:caps w:val="0"/>
                <w:color w:val="333333"/>
                <w:spacing w:val="0"/>
                <w:sz w:val="19"/>
                <w:szCs w:val="19"/>
                <w:shd w:val="clear" w:color="auto" w:fill="auto"/>
              </w:rPr>
              <w:t>阶段每人每学年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经济效益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社会效益</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改善残疾学生生活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生态效益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rPr>
            </w:pPr>
            <w:r>
              <w:rPr>
                <w:rFonts w:hint="eastAsia" w:ascii="宋体" w:hAnsi="宋体" w:eastAsia="宋体" w:cs="宋体"/>
                <w:sz w:val="20"/>
                <w:shd w:val="clear" w:color="auto" w:fill="auto"/>
              </w:rPr>
              <w:t>可持续影响</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改善残疾学生生活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lang w:eastAsia="zh-CN"/>
              </w:rPr>
            </w:pPr>
            <w:r>
              <w:rPr>
                <w:rFonts w:hint="eastAsia" w:ascii="宋体" w:hAnsi="宋体" w:eastAsia="宋体" w:cs="宋体"/>
                <w:color w:val="000000"/>
                <w:kern w:val="0"/>
                <w:sz w:val="20"/>
                <w:szCs w:val="20"/>
                <w:shd w:val="clear" w:color="auto" w:fill="auto"/>
                <w:lang w:eastAsia="zh-CN"/>
              </w:rPr>
              <w:t>资助对象满意度</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rPr>
            </w:pPr>
            <w:r>
              <w:rPr>
                <w:rFonts w:hint="eastAsia" w:ascii="宋体" w:hAnsi="宋体" w:eastAsia="宋体" w:cs="宋体"/>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bl>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、“残疾人辅助设施.器具及无障碍建设.业务培训”项目。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无障碍建设方面的宣传、在主要路口设立标牌;无障碍进家庭,对重度残疾人家庭中进户门坡道、厨房、卫生间等需要改造的地方进行无障碍改造。</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淮北市“十四五”残疾人保障和发展规划（淮政〔2022〕23号）；关于印发《安徽省“十四五”困难重度残疾人家庭无障碍改造实施方案》的通知（皖残联〔2022〕29号）。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无障碍建设方面的宣传、在主要路口设立标牌;无障碍进家庭,对重度残疾人家庭中进户门坡道、厨房、卫生间等需要改造的地方进行无障碍改造。</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87万元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残疾人辅助设施.器具及无障碍建设.业务培训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残疾人辅助设施.器具及无障碍建设.业务培训</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无障碍改造数量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2023年计划改造922户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cs="宋体"/>
                <w:sz w:val="20"/>
                <w:lang w:eastAsia="zh-CN"/>
              </w:rPr>
              <w:t>购买辅助设施</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轮椅腋仗等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cs="宋体"/>
                <w:sz w:val="20"/>
                <w:lang w:eastAsia="zh-CN"/>
              </w:rPr>
              <w:t>按标准改造</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按标准改造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招标结束后及时改造</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按时验收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改造标准</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按每户残疾程度及实际需求评估确定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提高残疾人生活质量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方便残疾人生活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改造对象满意度</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22.82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kern w:val="0"/>
          <w:sz w:val="32"/>
          <w:szCs w:val="32"/>
          <w:lang w:eastAsia="zh-CN"/>
        </w:rPr>
        <w:t>残疾人联合会本级</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1489.53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汉仪中秀体简">
    <w:altName w:val="hakuyoxingshu7000"/>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lNDM0MzU1YjBjMmMyOTZlNWY4YzYxMGFiN2RhODYifQ=="/>
  </w:docVars>
  <w:rsids>
    <w:rsidRoot w:val="00E907C4"/>
    <w:rsid w:val="0057562B"/>
    <w:rsid w:val="006546AF"/>
    <w:rsid w:val="008F6D1A"/>
    <w:rsid w:val="009A3CA3"/>
    <w:rsid w:val="00AE3242"/>
    <w:rsid w:val="00E907C4"/>
    <w:rsid w:val="00EC7755"/>
    <w:rsid w:val="17264B5C"/>
    <w:rsid w:val="17E82B2D"/>
    <w:rsid w:val="1B3D4D39"/>
    <w:rsid w:val="35A254DE"/>
    <w:rsid w:val="46917908"/>
    <w:rsid w:val="512A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7353</Words>
  <Characters>8172</Characters>
  <Lines>46</Lines>
  <Paragraphs>13</Paragraphs>
  <TotalTime>21</TotalTime>
  <ScaleCrop>false</ScaleCrop>
  <LinksUpToDate>false</LinksUpToDate>
  <CharactersWithSpaces>8499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2023-02-27T08:24:21Z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9DBEE27E2453484482E93883C53C61D9</vt:lpwstr>
  </property>
</Properties>
</file>