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淮北市残疾人联合会（本级）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3.99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残疾人联合会（本级）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1.5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3.99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266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决算数大于预算数的主要原因是</w:t>
      </w:r>
      <w:r>
        <w:rPr>
          <w:rFonts w:hint="eastAsia" w:ascii="仿宋_GB2312" w:hAnsi="仿宋"/>
          <w:szCs w:val="32"/>
          <w:lang w:eastAsia="zh-CN"/>
        </w:rPr>
        <w:t>追加招商引资费用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残疾人联合会（本级）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3.99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残疾人联合会（本级）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3.99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年度预算相比，增加</w:t>
      </w:r>
      <w:r>
        <w:rPr>
          <w:rFonts w:hint="eastAsia" w:ascii="仿宋_GB2312" w:hAnsi="仿宋"/>
          <w:szCs w:val="32"/>
          <w:lang w:val="en-US" w:eastAsia="zh-CN"/>
        </w:rPr>
        <w:t>2.49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166</w:t>
      </w:r>
      <w:r>
        <w:rPr>
          <w:rFonts w:hint="eastAsia" w:ascii="仿宋_GB2312" w:hAnsi="仿宋"/>
          <w:szCs w:val="32"/>
        </w:rPr>
        <w:t>%，增长的原因是招商引资接待次数增多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残疾人联合会（本级）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150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人次）。主要是用于招商引资接待，上级单位来淮检查工作接待。经费使用严格贯彻党中央“八项规定”要求，严格执行《党政机关厉行节约反对浪费条例》、淮北市公务接待相关规定等。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残疾人联合会（本级）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NTYyNWRlNTY3NjAwZWRhMWJmOTljOTk5NjY4Nz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8A06435"/>
    <w:rsid w:val="18242EF9"/>
    <w:rsid w:val="4D527913"/>
    <w:rsid w:val="6A9D476F"/>
    <w:rsid w:val="71D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792</Characters>
  <Lines>8</Lines>
  <Paragraphs>2</Paragraphs>
  <TotalTime>2</TotalTime>
  <ScaleCrop>false</ScaleCrop>
  <LinksUpToDate>false</LinksUpToDate>
  <CharactersWithSpaces>868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2022-07-28T00:41:21Z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